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54415" w14:textId="77777777" w:rsidR="00831C91" w:rsidRPr="00D636AC" w:rsidRDefault="00831C91" w:rsidP="00D636AC">
      <w:pPr>
        <w:spacing w:after="0" w:line="360" w:lineRule="auto"/>
        <w:jc w:val="both"/>
        <w:rPr>
          <w:rFonts w:asciiTheme="majorBidi" w:hAnsiTheme="majorBidi" w:cstheme="majorBidi"/>
          <w:b/>
          <w:sz w:val="24"/>
          <w:szCs w:val="24"/>
        </w:rPr>
      </w:pPr>
      <w:bookmarkStart w:id="0" w:name="_GoBack"/>
      <w:bookmarkEnd w:id="0"/>
      <w:r w:rsidRPr="00D636AC">
        <w:rPr>
          <w:rFonts w:asciiTheme="majorBidi" w:hAnsiTheme="majorBidi" w:cstheme="majorBidi"/>
          <w:b/>
          <w:sz w:val="24"/>
          <w:szCs w:val="24"/>
        </w:rPr>
        <w:t>1. Title:</w:t>
      </w:r>
    </w:p>
    <w:p w14:paraId="36914EF9" w14:textId="77777777" w:rsidR="00A75D49" w:rsidRPr="00D636AC" w:rsidRDefault="00A75D49" w:rsidP="00D636AC">
      <w:pPr>
        <w:spacing w:line="360" w:lineRule="auto"/>
        <w:jc w:val="both"/>
        <w:rPr>
          <w:rFonts w:asciiTheme="majorBidi" w:eastAsia="MS Mincho" w:hAnsiTheme="majorBidi" w:cstheme="majorBidi"/>
          <w:b/>
          <w:sz w:val="24"/>
          <w:szCs w:val="24"/>
          <w:lang w:val="en-US" w:eastAsia="ja-JP"/>
        </w:rPr>
      </w:pPr>
      <w:r w:rsidRPr="00D636AC">
        <w:rPr>
          <w:rFonts w:asciiTheme="majorBidi" w:eastAsia="MS Mincho" w:hAnsiTheme="majorBidi" w:cstheme="majorBidi"/>
          <w:b/>
          <w:sz w:val="24"/>
          <w:szCs w:val="24"/>
          <w:lang w:val="en-US" w:eastAsia="ja-JP"/>
        </w:rPr>
        <w:t xml:space="preserve">Materials-driven Fibronectin Assembly on Nanoscale Topography Enhances Mesenchymal Stem Cell Adhesion, Prevents Biofilm Formation and Protects Cells from Quorum Sensing Virulence Factors </w:t>
      </w:r>
    </w:p>
    <w:p w14:paraId="12CC7EAB" w14:textId="77777777" w:rsidR="00831C91" w:rsidRPr="00D636AC" w:rsidRDefault="00831C91" w:rsidP="00D636AC">
      <w:pPr>
        <w:spacing w:line="360" w:lineRule="auto"/>
        <w:jc w:val="both"/>
        <w:rPr>
          <w:rFonts w:asciiTheme="majorBidi" w:hAnsiTheme="majorBidi" w:cstheme="majorBidi"/>
          <w:b/>
          <w:bCs/>
          <w:sz w:val="24"/>
          <w:szCs w:val="24"/>
          <w:lang w:val="en-US"/>
        </w:rPr>
      </w:pPr>
    </w:p>
    <w:p w14:paraId="26123BC9" w14:textId="77777777" w:rsidR="00831C91" w:rsidRPr="00D636AC" w:rsidRDefault="00831C91" w:rsidP="00D636AC">
      <w:pPr>
        <w:spacing w:after="0" w:line="360" w:lineRule="auto"/>
        <w:jc w:val="both"/>
        <w:rPr>
          <w:rFonts w:asciiTheme="majorBidi" w:hAnsiTheme="majorBidi" w:cstheme="majorBidi"/>
          <w:b/>
          <w:sz w:val="24"/>
          <w:szCs w:val="24"/>
        </w:rPr>
      </w:pPr>
      <w:r w:rsidRPr="00D636AC">
        <w:rPr>
          <w:rFonts w:asciiTheme="majorBidi" w:hAnsiTheme="majorBidi" w:cstheme="majorBidi"/>
          <w:b/>
          <w:sz w:val="24"/>
          <w:szCs w:val="24"/>
        </w:rPr>
        <w:t>2. Authors:</w:t>
      </w:r>
    </w:p>
    <w:p w14:paraId="0B4D202A" w14:textId="77777777" w:rsidR="00A75D49" w:rsidRPr="00D636AC" w:rsidRDefault="00A75D49" w:rsidP="00D636AC">
      <w:pPr>
        <w:spacing w:line="360" w:lineRule="auto"/>
        <w:jc w:val="both"/>
        <w:rPr>
          <w:rFonts w:asciiTheme="majorBidi" w:hAnsiTheme="majorBidi" w:cstheme="majorBidi"/>
          <w:i/>
          <w:sz w:val="24"/>
          <w:szCs w:val="24"/>
          <w:vertAlign w:val="superscript"/>
        </w:rPr>
      </w:pPr>
      <w:r w:rsidRPr="00D636AC">
        <w:rPr>
          <w:rFonts w:asciiTheme="majorBidi" w:hAnsiTheme="majorBidi" w:cstheme="majorBidi"/>
          <w:i/>
          <w:sz w:val="24"/>
          <w:szCs w:val="24"/>
        </w:rPr>
        <w:t>Laila A. Damiati</w:t>
      </w:r>
      <w:r w:rsidRPr="00D636AC">
        <w:rPr>
          <w:rFonts w:asciiTheme="majorBidi" w:hAnsiTheme="majorBidi" w:cstheme="majorBidi"/>
          <w:i/>
          <w:sz w:val="24"/>
          <w:szCs w:val="24"/>
          <w:vertAlign w:val="superscript"/>
        </w:rPr>
        <w:t>1,2</w:t>
      </w:r>
      <w:r w:rsidRPr="00D636AC">
        <w:rPr>
          <w:rFonts w:asciiTheme="majorBidi" w:hAnsiTheme="majorBidi" w:cstheme="majorBidi"/>
          <w:i/>
          <w:sz w:val="24"/>
          <w:szCs w:val="24"/>
        </w:rPr>
        <w:t>, Monica P. Tsimbouri</w:t>
      </w:r>
      <w:r w:rsidRPr="00D636AC">
        <w:rPr>
          <w:rFonts w:asciiTheme="majorBidi" w:hAnsiTheme="majorBidi" w:cstheme="majorBidi"/>
          <w:i/>
          <w:sz w:val="24"/>
          <w:szCs w:val="24"/>
          <w:vertAlign w:val="superscript"/>
        </w:rPr>
        <w:t>1</w:t>
      </w:r>
      <w:r w:rsidRPr="00D636AC">
        <w:rPr>
          <w:rFonts w:asciiTheme="majorBidi" w:hAnsiTheme="majorBidi" w:cstheme="majorBidi"/>
          <w:i/>
          <w:sz w:val="24"/>
          <w:szCs w:val="24"/>
        </w:rPr>
        <w:t>, Mark Ginty</w:t>
      </w:r>
      <w:r w:rsidRPr="00D636AC">
        <w:rPr>
          <w:rFonts w:asciiTheme="majorBidi" w:hAnsiTheme="majorBidi" w:cstheme="majorBidi"/>
          <w:i/>
          <w:sz w:val="24"/>
          <w:szCs w:val="24"/>
          <w:vertAlign w:val="superscript"/>
        </w:rPr>
        <w:t>3</w:t>
      </w:r>
      <w:r w:rsidRPr="00D636AC">
        <w:rPr>
          <w:rFonts w:asciiTheme="majorBidi" w:hAnsiTheme="majorBidi" w:cstheme="majorBidi"/>
          <w:i/>
          <w:sz w:val="24"/>
          <w:szCs w:val="24"/>
        </w:rPr>
        <w:t>, Virginia Llopis-Hernandez</w:t>
      </w:r>
      <w:r w:rsidRPr="00D636AC">
        <w:rPr>
          <w:rFonts w:asciiTheme="majorBidi" w:hAnsiTheme="majorBidi" w:cstheme="majorBidi"/>
          <w:i/>
          <w:sz w:val="24"/>
          <w:szCs w:val="24"/>
          <w:vertAlign w:val="superscript"/>
        </w:rPr>
        <w:t>1</w:t>
      </w:r>
      <w:r w:rsidRPr="00D636AC">
        <w:rPr>
          <w:rFonts w:asciiTheme="majorBidi" w:hAnsiTheme="majorBidi" w:cstheme="majorBidi"/>
          <w:i/>
          <w:sz w:val="24"/>
          <w:szCs w:val="24"/>
        </w:rPr>
        <w:t>, Peter Childs</w:t>
      </w:r>
      <w:r w:rsidRPr="00D636AC">
        <w:rPr>
          <w:rFonts w:asciiTheme="majorBidi" w:hAnsiTheme="majorBidi" w:cstheme="majorBidi"/>
          <w:i/>
          <w:sz w:val="24"/>
          <w:szCs w:val="24"/>
          <w:vertAlign w:val="superscript"/>
        </w:rPr>
        <w:t>4,5</w:t>
      </w:r>
      <w:r w:rsidRPr="00D636AC">
        <w:rPr>
          <w:rFonts w:asciiTheme="majorBidi" w:hAnsiTheme="majorBidi" w:cstheme="majorBidi"/>
          <w:i/>
          <w:sz w:val="24"/>
          <w:szCs w:val="24"/>
        </w:rPr>
        <w:t xml:space="preserve">, </w:t>
      </w:r>
      <w:proofErr w:type="spellStart"/>
      <w:r w:rsidRPr="00D636AC">
        <w:rPr>
          <w:rFonts w:asciiTheme="majorBidi" w:hAnsiTheme="majorBidi" w:cstheme="majorBidi"/>
          <w:i/>
          <w:sz w:val="24"/>
          <w:szCs w:val="24"/>
        </w:rPr>
        <w:t>Vineetha</w:t>
      </w:r>
      <w:proofErr w:type="spellEnd"/>
      <w:r w:rsidRPr="00D636AC">
        <w:rPr>
          <w:rFonts w:asciiTheme="majorBidi" w:hAnsiTheme="majorBidi" w:cstheme="majorBidi"/>
          <w:i/>
          <w:sz w:val="24"/>
          <w:szCs w:val="24"/>
        </w:rPr>
        <w:t xml:space="preserve"> Jayawarna</w:t>
      </w:r>
      <w:r w:rsidRPr="00D636AC">
        <w:rPr>
          <w:rFonts w:asciiTheme="majorBidi" w:hAnsiTheme="majorBidi" w:cstheme="majorBidi"/>
          <w:i/>
          <w:sz w:val="24"/>
          <w:szCs w:val="24"/>
          <w:vertAlign w:val="superscript"/>
        </w:rPr>
        <w:t>4</w:t>
      </w:r>
      <w:r w:rsidRPr="00D636AC">
        <w:rPr>
          <w:rFonts w:asciiTheme="majorBidi" w:hAnsiTheme="majorBidi" w:cstheme="majorBidi"/>
          <w:i/>
          <w:sz w:val="24"/>
          <w:szCs w:val="24"/>
        </w:rPr>
        <w:t xml:space="preserve">, </w:t>
      </w:r>
      <w:proofErr w:type="spellStart"/>
      <w:r w:rsidRPr="00D636AC">
        <w:rPr>
          <w:rFonts w:asciiTheme="majorBidi" w:hAnsiTheme="majorBidi" w:cstheme="majorBidi"/>
          <w:i/>
          <w:sz w:val="24"/>
          <w:szCs w:val="24"/>
        </w:rPr>
        <w:t>Yinbo</w:t>
      </w:r>
      <w:proofErr w:type="spellEnd"/>
      <w:r w:rsidRPr="00D636AC">
        <w:rPr>
          <w:rFonts w:asciiTheme="majorBidi" w:hAnsiTheme="majorBidi" w:cstheme="majorBidi"/>
          <w:i/>
          <w:sz w:val="24"/>
          <w:szCs w:val="24"/>
        </w:rPr>
        <w:t xml:space="preserve"> Xiao</w:t>
      </w:r>
      <w:r w:rsidRPr="00D636AC">
        <w:rPr>
          <w:rFonts w:asciiTheme="majorBidi" w:hAnsiTheme="majorBidi" w:cstheme="majorBidi"/>
          <w:i/>
          <w:sz w:val="24"/>
          <w:szCs w:val="24"/>
          <w:vertAlign w:val="superscript"/>
        </w:rPr>
        <w:t>1</w:t>
      </w:r>
      <w:r w:rsidRPr="00D636AC">
        <w:rPr>
          <w:rFonts w:asciiTheme="majorBidi" w:hAnsiTheme="majorBidi" w:cstheme="majorBidi"/>
          <w:i/>
          <w:sz w:val="24"/>
          <w:szCs w:val="24"/>
        </w:rPr>
        <w:t>, Karl Burgess</w:t>
      </w:r>
      <w:r w:rsidRPr="00D636AC">
        <w:rPr>
          <w:rFonts w:asciiTheme="majorBidi" w:hAnsiTheme="majorBidi" w:cstheme="majorBidi"/>
          <w:i/>
          <w:sz w:val="24"/>
          <w:szCs w:val="24"/>
          <w:vertAlign w:val="superscript"/>
        </w:rPr>
        <w:t>6</w:t>
      </w:r>
      <w:r w:rsidRPr="00D636AC">
        <w:rPr>
          <w:rFonts w:asciiTheme="majorBidi" w:hAnsiTheme="majorBidi" w:cstheme="majorBidi"/>
          <w:i/>
          <w:sz w:val="24"/>
          <w:szCs w:val="24"/>
        </w:rPr>
        <w:t>, Julia Wells</w:t>
      </w:r>
      <w:r w:rsidRPr="00D636AC">
        <w:rPr>
          <w:rFonts w:asciiTheme="majorBidi" w:hAnsiTheme="majorBidi" w:cstheme="majorBidi"/>
          <w:i/>
          <w:sz w:val="24"/>
          <w:szCs w:val="24"/>
          <w:vertAlign w:val="superscript"/>
        </w:rPr>
        <w:t>7</w:t>
      </w:r>
      <w:r w:rsidRPr="00D636AC">
        <w:rPr>
          <w:rFonts w:asciiTheme="majorBidi" w:hAnsiTheme="majorBidi" w:cstheme="majorBidi"/>
          <w:i/>
          <w:sz w:val="24"/>
          <w:szCs w:val="24"/>
        </w:rPr>
        <w:t>, Mark R. Sprott</w:t>
      </w:r>
      <w:r w:rsidRPr="00D636AC">
        <w:rPr>
          <w:rFonts w:asciiTheme="majorBidi" w:hAnsiTheme="majorBidi" w:cstheme="majorBidi"/>
          <w:i/>
          <w:sz w:val="24"/>
          <w:szCs w:val="24"/>
          <w:vertAlign w:val="superscript"/>
        </w:rPr>
        <w:t>1</w:t>
      </w:r>
      <w:r w:rsidRPr="00D636AC">
        <w:rPr>
          <w:rFonts w:asciiTheme="majorBidi" w:hAnsiTheme="majorBidi" w:cstheme="majorBidi"/>
          <w:i/>
          <w:sz w:val="24"/>
          <w:szCs w:val="24"/>
        </w:rPr>
        <w:t>, R.M. Dominic Meek</w:t>
      </w:r>
      <w:r w:rsidRPr="00D636AC">
        <w:rPr>
          <w:rFonts w:asciiTheme="majorBidi" w:hAnsiTheme="majorBidi" w:cstheme="majorBidi"/>
          <w:i/>
          <w:sz w:val="24"/>
          <w:szCs w:val="24"/>
          <w:vertAlign w:val="superscript"/>
        </w:rPr>
        <w:t>8</w:t>
      </w:r>
      <w:r w:rsidRPr="00D636AC">
        <w:rPr>
          <w:rFonts w:asciiTheme="majorBidi" w:hAnsiTheme="majorBidi" w:cstheme="majorBidi"/>
          <w:i/>
          <w:sz w:val="24"/>
          <w:szCs w:val="24"/>
        </w:rPr>
        <w:t xml:space="preserve">, </w:t>
      </w:r>
      <w:proofErr w:type="spellStart"/>
      <w:r w:rsidRPr="00D636AC">
        <w:rPr>
          <w:rFonts w:asciiTheme="majorBidi" w:hAnsiTheme="majorBidi" w:cstheme="majorBidi"/>
          <w:i/>
          <w:sz w:val="24"/>
          <w:szCs w:val="24"/>
        </w:rPr>
        <w:t>Peifeng</w:t>
      </w:r>
      <w:proofErr w:type="spellEnd"/>
      <w:r w:rsidRPr="00D636AC">
        <w:rPr>
          <w:rFonts w:asciiTheme="majorBidi" w:hAnsiTheme="majorBidi" w:cstheme="majorBidi"/>
          <w:i/>
          <w:sz w:val="24"/>
          <w:szCs w:val="24"/>
        </w:rPr>
        <w:t xml:space="preserve"> Li</w:t>
      </w:r>
      <w:r w:rsidRPr="00D636AC">
        <w:rPr>
          <w:rFonts w:asciiTheme="majorBidi" w:hAnsiTheme="majorBidi" w:cstheme="majorBidi"/>
          <w:i/>
          <w:sz w:val="24"/>
          <w:szCs w:val="24"/>
          <w:vertAlign w:val="superscript"/>
        </w:rPr>
        <w:t>4</w:t>
      </w:r>
      <w:r w:rsidRPr="00D636AC">
        <w:rPr>
          <w:rFonts w:asciiTheme="majorBidi" w:hAnsiTheme="majorBidi" w:cstheme="majorBidi"/>
          <w:i/>
          <w:sz w:val="24"/>
          <w:szCs w:val="24"/>
        </w:rPr>
        <w:t>, Richard O.C. Oreffo</w:t>
      </w:r>
      <w:r w:rsidRPr="00D636AC">
        <w:rPr>
          <w:rFonts w:asciiTheme="majorBidi" w:hAnsiTheme="majorBidi" w:cstheme="majorBidi"/>
          <w:i/>
          <w:sz w:val="24"/>
          <w:szCs w:val="24"/>
          <w:vertAlign w:val="superscript"/>
        </w:rPr>
        <w:t>7</w:t>
      </w:r>
      <w:r w:rsidRPr="00D636AC">
        <w:rPr>
          <w:rFonts w:asciiTheme="majorBidi" w:hAnsiTheme="majorBidi" w:cstheme="majorBidi"/>
          <w:i/>
          <w:sz w:val="24"/>
          <w:szCs w:val="24"/>
        </w:rPr>
        <w:t>, Angela Nobbs</w:t>
      </w:r>
      <w:r w:rsidRPr="00D636AC">
        <w:rPr>
          <w:rFonts w:asciiTheme="majorBidi" w:hAnsiTheme="majorBidi" w:cstheme="majorBidi"/>
          <w:i/>
          <w:sz w:val="24"/>
          <w:szCs w:val="24"/>
          <w:vertAlign w:val="superscript"/>
        </w:rPr>
        <w:t>3</w:t>
      </w:r>
      <w:r w:rsidRPr="00D636AC">
        <w:rPr>
          <w:rFonts w:asciiTheme="majorBidi" w:hAnsiTheme="majorBidi" w:cstheme="majorBidi"/>
          <w:i/>
          <w:sz w:val="24"/>
          <w:szCs w:val="24"/>
        </w:rPr>
        <w:t>, Gordon Ramage</w:t>
      </w:r>
      <w:r w:rsidRPr="00D636AC">
        <w:rPr>
          <w:rFonts w:asciiTheme="majorBidi" w:hAnsiTheme="majorBidi" w:cstheme="majorBidi"/>
          <w:i/>
          <w:sz w:val="24"/>
          <w:szCs w:val="24"/>
          <w:vertAlign w:val="superscript"/>
        </w:rPr>
        <w:t>9</w:t>
      </w:r>
      <w:r w:rsidRPr="00D636AC">
        <w:rPr>
          <w:rFonts w:asciiTheme="majorBidi" w:hAnsiTheme="majorBidi" w:cstheme="majorBidi"/>
          <w:i/>
          <w:sz w:val="24"/>
          <w:szCs w:val="24"/>
        </w:rPr>
        <w:t>, Bo Su</w:t>
      </w:r>
      <w:r w:rsidRPr="00D636AC">
        <w:rPr>
          <w:rFonts w:asciiTheme="majorBidi" w:hAnsiTheme="majorBidi" w:cstheme="majorBidi"/>
          <w:i/>
          <w:sz w:val="24"/>
          <w:szCs w:val="24"/>
          <w:vertAlign w:val="superscript"/>
        </w:rPr>
        <w:t>3</w:t>
      </w:r>
      <w:r w:rsidRPr="00D636AC">
        <w:rPr>
          <w:rFonts w:asciiTheme="majorBidi" w:hAnsiTheme="majorBidi" w:cstheme="majorBidi"/>
          <w:i/>
          <w:sz w:val="24"/>
          <w:szCs w:val="24"/>
        </w:rPr>
        <w:t>, Manuel Salmeron-Sanchez</w:t>
      </w:r>
      <w:r w:rsidRPr="00D636AC">
        <w:rPr>
          <w:rFonts w:asciiTheme="majorBidi" w:hAnsiTheme="majorBidi" w:cstheme="majorBidi"/>
          <w:i/>
          <w:sz w:val="24"/>
          <w:szCs w:val="24"/>
          <w:vertAlign w:val="superscript"/>
        </w:rPr>
        <w:t>4</w:t>
      </w:r>
      <w:r w:rsidRPr="00D636AC">
        <w:rPr>
          <w:rFonts w:asciiTheme="majorBidi" w:hAnsiTheme="majorBidi" w:cstheme="majorBidi"/>
          <w:i/>
          <w:sz w:val="24"/>
          <w:szCs w:val="24"/>
        </w:rPr>
        <w:t xml:space="preserve"> and Matthew J. Dalby</w:t>
      </w:r>
      <w:r w:rsidRPr="00D636AC">
        <w:rPr>
          <w:rFonts w:asciiTheme="majorBidi" w:hAnsiTheme="majorBidi" w:cstheme="majorBidi"/>
          <w:i/>
          <w:sz w:val="24"/>
          <w:szCs w:val="24"/>
          <w:vertAlign w:val="superscript"/>
        </w:rPr>
        <w:t>1*</w:t>
      </w:r>
    </w:p>
    <w:p w14:paraId="28D7B0F1" w14:textId="77777777" w:rsidR="00A75D49" w:rsidRPr="00D636AC" w:rsidRDefault="00A75D49" w:rsidP="00D636AC">
      <w:pPr>
        <w:spacing w:line="360" w:lineRule="auto"/>
        <w:jc w:val="both"/>
        <w:rPr>
          <w:rFonts w:asciiTheme="majorBidi" w:hAnsiTheme="majorBidi" w:cstheme="majorBidi"/>
          <w:sz w:val="24"/>
          <w:szCs w:val="24"/>
        </w:rPr>
      </w:pPr>
    </w:p>
    <w:p w14:paraId="75ABE48A" w14:textId="77777777" w:rsidR="00A75D49" w:rsidRPr="00D636AC" w:rsidRDefault="00A75D49" w:rsidP="00D636AC">
      <w:pPr>
        <w:spacing w:line="360" w:lineRule="auto"/>
        <w:jc w:val="both"/>
        <w:rPr>
          <w:rFonts w:asciiTheme="majorBidi" w:hAnsiTheme="majorBidi" w:cstheme="majorBidi"/>
          <w:sz w:val="24"/>
          <w:szCs w:val="24"/>
        </w:rPr>
      </w:pP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L.A. </w:t>
      </w:r>
      <w:proofErr w:type="spellStart"/>
      <w:r w:rsidRPr="00D636AC">
        <w:rPr>
          <w:rFonts w:asciiTheme="majorBidi" w:hAnsiTheme="majorBidi" w:cstheme="majorBidi"/>
          <w:sz w:val="24"/>
          <w:szCs w:val="24"/>
        </w:rPr>
        <w:t>Damiati</w:t>
      </w:r>
      <w:proofErr w:type="spellEnd"/>
      <w:r w:rsidRPr="00D636AC">
        <w:rPr>
          <w:rFonts w:asciiTheme="majorBidi" w:hAnsiTheme="majorBidi" w:cstheme="majorBidi"/>
          <w:sz w:val="24"/>
          <w:szCs w:val="24"/>
        </w:rPr>
        <w:t xml:space="preserve">, </w:t>
      </w: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M.P. Tsimbouri, </w:t>
      </w: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V. </w:t>
      </w:r>
      <w:proofErr w:type="spellStart"/>
      <w:r w:rsidRPr="00D636AC">
        <w:rPr>
          <w:rFonts w:asciiTheme="majorBidi" w:hAnsiTheme="majorBidi" w:cstheme="majorBidi"/>
          <w:sz w:val="24"/>
          <w:szCs w:val="24"/>
        </w:rPr>
        <w:t>Llopis</w:t>
      </w:r>
      <w:proofErr w:type="spellEnd"/>
      <w:r w:rsidRPr="00D636AC">
        <w:rPr>
          <w:rFonts w:asciiTheme="majorBidi" w:hAnsiTheme="majorBidi" w:cstheme="majorBidi"/>
          <w:sz w:val="24"/>
          <w:szCs w:val="24"/>
        </w:rPr>
        <w:t xml:space="preserve">-Hernandez, </w:t>
      </w: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P. Childs, </w:t>
      </w: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V. </w:t>
      </w:r>
      <w:proofErr w:type="spellStart"/>
      <w:r w:rsidRPr="00D636AC">
        <w:rPr>
          <w:rFonts w:asciiTheme="majorBidi" w:hAnsiTheme="majorBidi" w:cstheme="majorBidi"/>
          <w:sz w:val="24"/>
          <w:szCs w:val="24"/>
        </w:rPr>
        <w:t>Jayawarna</w:t>
      </w:r>
      <w:proofErr w:type="spellEnd"/>
      <w:r w:rsidRPr="00D636AC">
        <w:rPr>
          <w:rFonts w:asciiTheme="majorBidi" w:hAnsiTheme="majorBidi" w:cstheme="majorBidi"/>
          <w:sz w:val="24"/>
          <w:szCs w:val="24"/>
        </w:rPr>
        <w:t xml:space="preserve">, Y. Xiao, </w:t>
      </w: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M.R. </w:t>
      </w:r>
      <w:proofErr w:type="spellStart"/>
      <w:r w:rsidRPr="00D636AC">
        <w:rPr>
          <w:rFonts w:asciiTheme="majorBidi" w:hAnsiTheme="majorBidi" w:cstheme="majorBidi"/>
          <w:sz w:val="24"/>
          <w:szCs w:val="24"/>
        </w:rPr>
        <w:t>Sprott</w:t>
      </w:r>
      <w:proofErr w:type="spellEnd"/>
      <w:r w:rsidRPr="00D636AC">
        <w:rPr>
          <w:rFonts w:asciiTheme="majorBidi" w:hAnsiTheme="majorBidi" w:cstheme="majorBidi"/>
          <w:sz w:val="24"/>
          <w:szCs w:val="24"/>
        </w:rPr>
        <w:t>, Prof. M.J. Dalby</w:t>
      </w:r>
    </w:p>
    <w:p w14:paraId="5E6B7DEA"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Centre for the Cellular Microenvironment, Institute of Molecular, Cell and Systems Biology, College of Medical, Veterinary and Life Sciences, University of Glasgow, Glasgow G12 8QQ, UK.</w:t>
      </w:r>
    </w:p>
    <w:p w14:paraId="5E657B51" w14:textId="77777777" w:rsidR="00A75D49" w:rsidRPr="00D636AC" w:rsidRDefault="00A75D49" w:rsidP="00D636AC">
      <w:pPr>
        <w:spacing w:line="360" w:lineRule="auto"/>
        <w:jc w:val="both"/>
        <w:rPr>
          <w:rFonts w:asciiTheme="majorBidi" w:hAnsiTheme="majorBidi" w:cstheme="majorBidi"/>
          <w:sz w:val="24"/>
          <w:szCs w:val="24"/>
        </w:rPr>
      </w:pP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L.A. </w:t>
      </w:r>
      <w:proofErr w:type="spellStart"/>
      <w:r w:rsidRPr="00D636AC">
        <w:rPr>
          <w:rFonts w:asciiTheme="majorBidi" w:hAnsiTheme="majorBidi" w:cstheme="majorBidi"/>
          <w:sz w:val="24"/>
          <w:szCs w:val="24"/>
        </w:rPr>
        <w:t>Damiati</w:t>
      </w:r>
      <w:proofErr w:type="spellEnd"/>
    </w:p>
    <w:p w14:paraId="7638AE23" w14:textId="77777777" w:rsidR="00A75D49" w:rsidRPr="00D636AC" w:rsidRDefault="00A75D49" w:rsidP="00D636AC">
      <w:pPr>
        <w:spacing w:line="360" w:lineRule="auto"/>
        <w:jc w:val="both"/>
        <w:rPr>
          <w:rStyle w:val="Hyperlink"/>
          <w:rFonts w:asciiTheme="majorBidi" w:hAnsiTheme="majorBidi" w:cstheme="majorBidi"/>
          <w:color w:val="auto"/>
          <w:sz w:val="24"/>
          <w:szCs w:val="24"/>
          <w:shd w:val="clear" w:color="auto" w:fill="FFFFFF"/>
        </w:rPr>
      </w:pPr>
      <w:r w:rsidRPr="00D636AC">
        <w:rPr>
          <w:rFonts w:asciiTheme="majorBidi" w:hAnsiTheme="majorBidi" w:cstheme="majorBidi"/>
          <w:sz w:val="24"/>
          <w:szCs w:val="24"/>
          <w:lang w:val="en-US"/>
        </w:rPr>
        <w:t xml:space="preserve">Department of Biology, Collage of Science, University of Jeddah, Jeddah 23890, SA. </w:t>
      </w:r>
      <w:hyperlink r:id="rId6" w:history="1">
        <w:r w:rsidRPr="00D636AC">
          <w:rPr>
            <w:rStyle w:val="Hyperlink"/>
            <w:rFonts w:asciiTheme="majorBidi" w:hAnsiTheme="majorBidi" w:cstheme="majorBidi"/>
            <w:color w:val="auto"/>
            <w:sz w:val="24"/>
            <w:szCs w:val="24"/>
            <w:shd w:val="clear" w:color="auto" w:fill="FFFFFF"/>
          </w:rPr>
          <w:t>https://orcid.org/0000-0002-4746-0915</w:t>
        </w:r>
      </w:hyperlink>
    </w:p>
    <w:p w14:paraId="777D5B24" w14:textId="77777777" w:rsidR="00A75D49" w:rsidRPr="00D636AC" w:rsidRDefault="00A75D49" w:rsidP="00D636AC">
      <w:pPr>
        <w:spacing w:line="360" w:lineRule="auto"/>
        <w:jc w:val="both"/>
        <w:rPr>
          <w:rFonts w:asciiTheme="majorBidi" w:hAnsiTheme="majorBidi" w:cstheme="majorBidi"/>
          <w:sz w:val="24"/>
          <w:szCs w:val="24"/>
        </w:rPr>
      </w:pP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P. Childs</w:t>
      </w:r>
    </w:p>
    <w:p w14:paraId="1F1E599C"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rPr>
        <w:t>D</w:t>
      </w:r>
      <w:proofErr w:type="spellStart"/>
      <w:r w:rsidRPr="00D636AC">
        <w:rPr>
          <w:rFonts w:asciiTheme="majorBidi" w:hAnsiTheme="majorBidi" w:cstheme="majorBidi"/>
          <w:sz w:val="24"/>
          <w:szCs w:val="24"/>
          <w:lang w:val="en-US"/>
        </w:rPr>
        <w:t>epartment</w:t>
      </w:r>
      <w:proofErr w:type="spellEnd"/>
      <w:r w:rsidRPr="00D636AC">
        <w:rPr>
          <w:rFonts w:asciiTheme="majorBidi" w:hAnsiTheme="majorBidi" w:cstheme="majorBidi"/>
          <w:sz w:val="24"/>
          <w:szCs w:val="24"/>
          <w:lang w:val="en-US"/>
        </w:rPr>
        <w:t xml:space="preserve"> of Biomedical Engineering, University of Strathclyde, Glasgow G1 1QE, UK.</w:t>
      </w:r>
    </w:p>
    <w:p w14:paraId="6A606DF1"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 xml:space="preserve">M. </w:t>
      </w:r>
      <w:proofErr w:type="spellStart"/>
      <w:r w:rsidRPr="00D636AC">
        <w:rPr>
          <w:rFonts w:asciiTheme="majorBidi" w:hAnsiTheme="majorBidi" w:cstheme="majorBidi"/>
          <w:sz w:val="24"/>
          <w:szCs w:val="24"/>
          <w:lang w:val="en-US"/>
        </w:rPr>
        <w:t>Ginty</w:t>
      </w:r>
      <w:proofErr w:type="spellEnd"/>
      <w:r w:rsidRPr="00D636AC">
        <w:rPr>
          <w:rFonts w:asciiTheme="majorBidi" w:hAnsiTheme="majorBidi" w:cstheme="majorBidi"/>
          <w:sz w:val="24"/>
          <w:szCs w:val="24"/>
          <w:lang w:val="en-US"/>
        </w:rPr>
        <w:t xml:space="preserve">, Dr. A. Nobbs, Prof. B. </w:t>
      </w:r>
      <w:proofErr w:type="spellStart"/>
      <w:r w:rsidRPr="00D636AC">
        <w:rPr>
          <w:rFonts w:asciiTheme="majorBidi" w:hAnsiTheme="majorBidi" w:cstheme="majorBidi"/>
          <w:sz w:val="24"/>
          <w:szCs w:val="24"/>
          <w:lang w:val="en-US"/>
        </w:rPr>
        <w:t>Su</w:t>
      </w:r>
      <w:proofErr w:type="spellEnd"/>
    </w:p>
    <w:p w14:paraId="1066A034" w14:textId="77777777" w:rsidR="00A75D49" w:rsidRPr="00D636AC" w:rsidRDefault="00A75D49" w:rsidP="00D636AC">
      <w:pPr>
        <w:spacing w:line="360" w:lineRule="auto"/>
        <w:jc w:val="both"/>
        <w:rPr>
          <w:rFonts w:asciiTheme="majorBidi" w:hAnsiTheme="majorBidi" w:cstheme="majorBidi"/>
          <w:sz w:val="24"/>
          <w:szCs w:val="24"/>
        </w:rPr>
      </w:pPr>
      <w:r w:rsidRPr="00D636AC">
        <w:rPr>
          <w:rFonts w:asciiTheme="majorBidi" w:hAnsiTheme="majorBidi" w:cstheme="majorBidi"/>
          <w:sz w:val="24"/>
          <w:szCs w:val="24"/>
        </w:rPr>
        <w:t>School of Oral and Dental Sciences, University of Bristol, Bristol, BS1 2LY, UK.</w:t>
      </w:r>
    </w:p>
    <w:p w14:paraId="4C1CA2B6" w14:textId="77777777" w:rsidR="00A75D49" w:rsidRPr="00D636AC" w:rsidRDefault="00A75D49" w:rsidP="00D636AC">
      <w:pPr>
        <w:spacing w:line="360" w:lineRule="auto"/>
        <w:jc w:val="both"/>
        <w:rPr>
          <w:rFonts w:asciiTheme="majorBidi" w:hAnsiTheme="majorBidi" w:cstheme="majorBidi"/>
          <w:sz w:val="24"/>
          <w:szCs w:val="24"/>
        </w:rPr>
      </w:pPr>
      <w:proofErr w:type="spellStart"/>
      <w:r w:rsidRPr="00D636AC">
        <w:rPr>
          <w:rFonts w:asciiTheme="majorBidi" w:hAnsiTheme="majorBidi" w:cstheme="majorBidi"/>
          <w:sz w:val="24"/>
          <w:szCs w:val="24"/>
        </w:rPr>
        <w:t>Dr.</w:t>
      </w:r>
      <w:proofErr w:type="spellEnd"/>
      <w:r w:rsidRPr="00D636AC">
        <w:rPr>
          <w:rFonts w:asciiTheme="majorBidi" w:hAnsiTheme="majorBidi" w:cstheme="majorBidi"/>
          <w:sz w:val="24"/>
          <w:szCs w:val="24"/>
        </w:rPr>
        <w:t xml:space="preserve"> P. Li, Prof. M. Salmeron-Sanchez</w:t>
      </w:r>
    </w:p>
    <w:p w14:paraId="019B0653" w14:textId="77777777" w:rsidR="00A75D49" w:rsidRPr="00D636AC" w:rsidRDefault="00A75D49" w:rsidP="00D636AC">
      <w:pPr>
        <w:spacing w:line="360" w:lineRule="auto"/>
        <w:jc w:val="both"/>
        <w:rPr>
          <w:rFonts w:asciiTheme="majorBidi" w:hAnsiTheme="majorBidi" w:cstheme="majorBidi"/>
          <w:sz w:val="24"/>
          <w:szCs w:val="24"/>
        </w:rPr>
      </w:pPr>
      <w:r w:rsidRPr="00D636AC">
        <w:rPr>
          <w:rFonts w:asciiTheme="majorBidi" w:hAnsiTheme="majorBidi" w:cstheme="majorBidi"/>
          <w:sz w:val="24"/>
          <w:szCs w:val="24"/>
          <w:lang w:val="en-US"/>
        </w:rPr>
        <w:t>Centre for the Cellular Microenvironment, Division of Biomedical Engineering, School of Engineering, University of Glasgow, Glasgow G12 8LT, UK</w:t>
      </w:r>
    </w:p>
    <w:p w14:paraId="334E4857"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Prof. K. Burgess</w:t>
      </w:r>
    </w:p>
    <w:p w14:paraId="5D39EF32"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lastRenderedPageBreak/>
        <w:t xml:space="preserve">Glasgow </w:t>
      </w:r>
      <w:proofErr w:type="spellStart"/>
      <w:r w:rsidRPr="00D636AC">
        <w:rPr>
          <w:rFonts w:asciiTheme="majorBidi" w:hAnsiTheme="majorBidi" w:cstheme="majorBidi"/>
          <w:sz w:val="24"/>
          <w:szCs w:val="24"/>
          <w:lang w:val="en-US"/>
        </w:rPr>
        <w:t>Polyomics</w:t>
      </w:r>
      <w:proofErr w:type="spellEnd"/>
      <w:r w:rsidRPr="00D636AC">
        <w:rPr>
          <w:rFonts w:asciiTheme="majorBidi" w:hAnsiTheme="majorBidi" w:cstheme="majorBidi"/>
          <w:sz w:val="24"/>
          <w:szCs w:val="24"/>
          <w:lang w:val="en-US"/>
        </w:rPr>
        <w:t xml:space="preserve"> Facility, College of Medical, Veterinary and Life Sciences, University of Glasgow, Switchback Rd, Bearsden, Glasgow G61 1BD, UK.</w:t>
      </w:r>
    </w:p>
    <w:p w14:paraId="129A4259"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 xml:space="preserve">J. Wells, Prof. R. O.C. </w:t>
      </w:r>
      <w:proofErr w:type="spellStart"/>
      <w:r w:rsidRPr="00D636AC">
        <w:rPr>
          <w:rFonts w:asciiTheme="majorBidi" w:hAnsiTheme="majorBidi" w:cstheme="majorBidi"/>
          <w:sz w:val="24"/>
          <w:szCs w:val="24"/>
          <w:lang w:val="en-US"/>
        </w:rPr>
        <w:t>Oreffo</w:t>
      </w:r>
      <w:proofErr w:type="spellEnd"/>
    </w:p>
    <w:p w14:paraId="42EFFECA"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Bone and Joint Research Group, Centre for Human Development, Stem Cells and Regeneration, Institute of Developmental Sciences, University of Southampton, Southampton SO16 6YD, UK.</w:t>
      </w:r>
    </w:p>
    <w:p w14:paraId="0C0E568A"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R.M. D. Meek</w:t>
      </w:r>
    </w:p>
    <w:p w14:paraId="1D1AA6BB"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Department of Orthopedics, Queen Elizabeth II University Hospital, Glasgow G51 4TF, UK.</w:t>
      </w:r>
    </w:p>
    <w:p w14:paraId="227B090F" w14:textId="77777777" w:rsidR="00A75D49" w:rsidRPr="00D636AC" w:rsidRDefault="00A75D49" w:rsidP="00D636AC">
      <w:pPr>
        <w:spacing w:line="360" w:lineRule="auto"/>
        <w:jc w:val="both"/>
        <w:rPr>
          <w:rFonts w:asciiTheme="majorBidi" w:hAnsiTheme="majorBidi" w:cstheme="majorBidi"/>
          <w:sz w:val="24"/>
          <w:szCs w:val="24"/>
          <w:lang w:val="en-US"/>
        </w:rPr>
      </w:pPr>
      <w:r w:rsidRPr="00D636AC">
        <w:rPr>
          <w:rFonts w:asciiTheme="majorBidi" w:hAnsiTheme="majorBidi" w:cstheme="majorBidi"/>
          <w:sz w:val="24"/>
          <w:szCs w:val="24"/>
          <w:lang w:val="en-US"/>
        </w:rPr>
        <w:t>Prof. G. Ramage</w:t>
      </w:r>
    </w:p>
    <w:p w14:paraId="12F061E0" w14:textId="0DDAAD3B" w:rsidR="00831C91" w:rsidRPr="00D636AC" w:rsidRDefault="00A75D49" w:rsidP="00D636AC">
      <w:pPr>
        <w:spacing w:line="360" w:lineRule="auto"/>
        <w:jc w:val="both"/>
        <w:rPr>
          <w:rFonts w:asciiTheme="majorBidi" w:hAnsiTheme="majorBidi" w:cstheme="majorBidi"/>
          <w:sz w:val="24"/>
          <w:szCs w:val="24"/>
        </w:rPr>
      </w:pPr>
      <w:r w:rsidRPr="00D636AC">
        <w:rPr>
          <w:rFonts w:asciiTheme="majorBidi" w:hAnsiTheme="majorBidi" w:cstheme="majorBidi"/>
          <w:sz w:val="24"/>
          <w:szCs w:val="24"/>
        </w:rPr>
        <w:t>Oral Sciences Research Group, Glasgow Dental School, School of Medicine, College of Medical, Veterinary and Life Sciences, University of Glasgow, Glasgow, G12 8TA, UK.</w:t>
      </w:r>
    </w:p>
    <w:p w14:paraId="4A7C12B5" w14:textId="5F7A5DA9" w:rsidR="00831C91" w:rsidRPr="00D636AC" w:rsidRDefault="00831C91" w:rsidP="00D636AC">
      <w:pPr>
        <w:spacing w:after="0" w:line="360" w:lineRule="auto"/>
        <w:rPr>
          <w:rStyle w:val="Hyperlink"/>
          <w:rFonts w:asciiTheme="majorBidi" w:hAnsiTheme="majorBidi" w:cstheme="majorBidi"/>
          <w:i/>
          <w:color w:val="auto"/>
          <w:sz w:val="24"/>
          <w:szCs w:val="24"/>
        </w:rPr>
      </w:pPr>
      <w:r w:rsidRPr="00D636AC">
        <w:rPr>
          <w:rFonts w:asciiTheme="majorBidi" w:hAnsiTheme="majorBidi" w:cstheme="majorBidi"/>
          <w:i/>
          <w:sz w:val="24"/>
          <w:szCs w:val="24"/>
        </w:rPr>
        <w:t>*</w:t>
      </w:r>
      <w:r w:rsidR="00A75D49" w:rsidRPr="00D636AC">
        <w:rPr>
          <w:rFonts w:asciiTheme="majorBidi" w:hAnsiTheme="majorBidi" w:cstheme="majorBidi"/>
          <w:i/>
          <w:sz w:val="24"/>
          <w:szCs w:val="24"/>
        </w:rPr>
        <w:t>Corresponding</w:t>
      </w:r>
      <w:r w:rsidRPr="00D636AC">
        <w:rPr>
          <w:rFonts w:asciiTheme="majorBidi" w:hAnsiTheme="majorBidi" w:cstheme="majorBidi"/>
          <w:i/>
          <w:sz w:val="24"/>
          <w:szCs w:val="24"/>
        </w:rPr>
        <w:t xml:space="preserve"> author </w:t>
      </w:r>
      <w:hyperlink r:id="rId7" w:history="1"/>
      <w:hyperlink r:id="rId8" w:history="1">
        <w:r w:rsidRPr="00D636AC">
          <w:rPr>
            <w:rStyle w:val="Hyperlink"/>
            <w:rFonts w:asciiTheme="majorBidi" w:hAnsiTheme="majorBidi" w:cstheme="majorBidi"/>
            <w:i/>
            <w:color w:val="auto"/>
            <w:sz w:val="24"/>
            <w:szCs w:val="24"/>
          </w:rPr>
          <w:t>matthew.dalby@glasgow.ac.uk</w:t>
        </w:r>
      </w:hyperlink>
    </w:p>
    <w:p w14:paraId="1B092FD1" w14:textId="33E75E34" w:rsidR="00831C91" w:rsidRPr="00D636AC" w:rsidRDefault="00831C91" w:rsidP="00D636AC">
      <w:pPr>
        <w:spacing w:line="360" w:lineRule="auto"/>
        <w:jc w:val="both"/>
        <w:rPr>
          <w:rFonts w:asciiTheme="majorBidi" w:hAnsiTheme="majorBidi" w:cstheme="majorBidi"/>
          <w:sz w:val="24"/>
          <w:szCs w:val="24"/>
          <w:lang w:val="en-US"/>
        </w:rPr>
      </w:pPr>
    </w:p>
    <w:p w14:paraId="32D05379" w14:textId="77777777" w:rsidR="00831C91" w:rsidRPr="00D636AC" w:rsidRDefault="00831C91" w:rsidP="00D636AC">
      <w:pPr>
        <w:spacing w:line="360" w:lineRule="auto"/>
        <w:jc w:val="both"/>
        <w:rPr>
          <w:rFonts w:asciiTheme="majorBidi" w:hAnsiTheme="majorBidi" w:cstheme="majorBidi"/>
          <w:b/>
          <w:bCs/>
          <w:sz w:val="24"/>
          <w:szCs w:val="24"/>
        </w:rPr>
      </w:pPr>
      <w:r w:rsidRPr="00D636AC">
        <w:rPr>
          <w:rFonts w:asciiTheme="majorBidi" w:hAnsiTheme="majorBidi" w:cstheme="majorBidi"/>
          <w:b/>
          <w:bCs/>
          <w:sz w:val="24"/>
          <w:szCs w:val="24"/>
        </w:rPr>
        <w:t>Abstract</w:t>
      </w:r>
    </w:p>
    <w:p w14:paraId="0C707639" w14:textId="77777777" w:rsidR="00A75D49" w:rsidRPr="00D636AC" w:rsidRDefault="00A75D49" w:rsidP="00D636AC">
      <w:pPr>
        <w:spacing w:line="360" w:lineRule="auto"/>
        <w:jc w:val="both"/>
        <w:rPr>
          <w:rFonts w:asciiTheme="majorBidi" w:hAnsiTheme="majorBidi" w:cstheme="majorBidi"/>
          <w:sz w:val="24"/>
          <w:szCs w:val="24"/>
        </w:rPr>
      </w:pPr>
      <w:r w:rsidRPr="00D636AC">
        <w:rPr>
          <w:rFonts w:asciiTheme="majorBidi" w:hAnsiTheme="majorBidi" w:cstheme="majorBidi"/>
          <w:sz w:val="24"/>
          <w:szCs w:val="24"/>
        </w:rPr>
        <w:t xml:space="preserve">Post-operative infection is a major complication in patients recovering from orthopaedic surgery. As such, there is a clinical need to develop biomaterials for use in regenerative surgery that can promote mesenchymal stem cell (MSC) </w:t>
      </w:r>
      <w:proofErr w:type="spellStart"/>
      <w:r w:rsidRPr="00D636AC">
        <w:rPr>
          <w:rFonts w:asciiTheme="majorBidi" w:hAnsiTheme="majorBidi" w:cstheme="majorBidi"/>
          <w:sz w:val="24"/>
          <w:szCs w:val="24"/>
        </w:rPr>
        <w:t>osteospecific</w:t>
      </w:r>
      <w:proofErr w:type="spellEnd"/>
      <w:r w:rsidRPr="00D636AC">
        <w:rPr>
          <w:rFonts w:asciiTheme="majorBidi" w:hAnsiTheme="majorBidi" w:cstheme="majorBidi"/>
          <w:sz w:val="24"/>
          <w:szCs w:val="24"/>
        </w:rPr>
        <w:t xml:space="preserve"> differentiation and that can prevent infection caused by biofilm-forming pathogens. </w:t>
      </w:r>
      <w:proofErr w:type="spellStart"/>
      <w:r w:rsidRPr="00D636AC">
        <w:rPr>
          <w:rFonts w:asciiTheme="majorBidi" w:hAnsiTheme="majorBidi" w:cstheme="majorBidi"/>
          <w:sz w:val="24"/>
          <w:szCs w:val="24"/>
        </w:rPr>
        <w:t>Nanotopographical</w:t>
      </w:r>
      <w:proofErr w:type="spellEnd"/>
      <w:r w:rsidRPr="00D636AC">
        <w:rPr>
          <w:rFonts w:asciiTheme="majorBidi" w:hAnsiTheme="majorBidi" w:cstheme="majorBidi"/>
          <w:sz w:val="24"/>
          <w:szCs w:val="24"/>
        </w:rPr>
        <w:t xml:space="preserve"> approaches to pathogen control are being identified, including in orthopaedic materials such as titanium and its alloys. These topographies use high aspect ratio nanospikes or nanowires to prevent bacterial adhesion but these features puncture adhering cells, thus also reducing MSC adhesion. Here, we use a poly(ethyl acrylate) (PEA) polymer coating on titanium nanowires to spontaneously organise fibronectin (FN) and to deliver bone morphogenetic protein 2 (BMP2) to enhance MSC adhesion and </w:t>
      </w:r>
      <w:proofErr w:type="spellStart"/>
      <w:r w:rsidRPr="00D636AC">
        <w:rPr>
          <w:rFonts w:asciiTheme="majorBidi" w:hAnsiTheme="majorBidi" w:cstheme="majorBidi"/>
          <w:sz w:val="24"/>
          <w:szCs w:val="24"/>
        </w:rPr>
        <w:t>osteospecific</w:t>
      </w:r>
      <w:proofErr w:type="spellEnd"/>
      <w:r w:rsidRPr="00D636AC">
        <w:rPr>
          <w:rFonts w:asciiTheme="majorBidi" w:hAnsiTheme="majorBidi" w:cstheme="majorBidi"/>
          <w:sz w:val="24"/>
          <w:szCs w:val="24"/>
        </w:rPr>
        <w:t xml:space="preserve"> signalling. This </w:t>
      </w:r>
      <w:proofErr w:type="spellStart"/>
      <w:r w:rsidRPr="00D636AC">
        <w:rPr>
          <w:rFonts w:asciiTheme="majorBidi" w:hAnsiTheme="majorBidi" w:cstheme="majorBidi"/>
          <w:sz w:val="24"/>
          <w:szCs w:val="24"/>
        </w:rPr>
        <w:t>nanotopography</w:t>
      </w:r>
      <w:proofErr w:type="spellEnd"/>
      <w:r w:rsidRPr="00D636AC">
        <w:rPr>
          <w:rFonts w:asciiTheme="majorBidi" w:hAnsiTheme="majorBidi" w:cstheme="majorBidi"/>
          <w:sz w:val="24"/>
          <w:szCs w:val="24"/>
        </w:rPr>
        <w:t xml:space="preserve"> when combined with the PEA coating enhanced osteogenesis and reduced adhesion of </w:t>
      </w:r>
      <w:r w:rsidRPr="00D636AC">
        <w:rPr>
          <w:rFonts w:asciiTheme="majorBidi" w:hAnsiTheme="majorBidi" w:cstheme="majorBidi"/>
          <w:i/>
          <w:iCs/>
          <w:sz w:val="24"/>
          <w:szCs w:val="24"/>
        </w:rPr>
        <w:t>Pseudomonas aeruginosa</w:t>
      </w:r>
      <w:r w:rsidRPr="00D636AC">
        <w:rPr>
          <w:rFonts w:asciiTheme="majorBidi" w:hAnsiTheme="majorBidi" w:cstheme="majorBidi"/>
          <w:sz w:val="24"/>
          <w:szCs w:val="24"/>
        </w:rPr>
        <w:t xml:space="preserve"> in culture. Using a novel MSC–</w:t>
      </w:r>
      <w:r w:rsidRPr="00D636AC">
        <w:rPr>
          <w:rFonts w:asciiTheme="majorBidi" w:hAnsiTheme="majorBidi" w:cstheme="majorBidi"/>
          <w:i/>
          <w:iCs/>
          <w:sz w:val="24"/>
          <w:szCs w:val="24"/>
        </w:rPr>
        <w:t>Pseudomonas aeruginosa</w:t>
      </w:r>
      <w:r w:rsidRPr="00D636AC">
        <w:rPr>
          <w:rFonts w:asciiTheme="majorBidi" w:hAnsiTheme="majorBidi" w:cstheme="majorBidi"/>
          <w:sz w:val="24"/>
          <w:szCs w:val="24"/>
        </w:rPr>
        <w:t xml:space="preserve"> co-culture, we also show that the coated </w:t>
      </w:r>
      <w:proofErr w:type="spellStart"/>
      <w:r w:rsidRPr="00D636AC">
        <w:rPr>
          <w:rFonts w:asciiTheme="majorBidi" w:hAnsiTheme="majorBidi" w:cstheme="majorBidi"/>
          <w:sz w:val="24"/>
          <w:szCs w:val="24"/>
        </w:rPr>
        <w:t>nanotopographies</w:t>
      </w:r>
      <w:proofErr w:type="spellEnd"/>
      <w:r w:rsidRPr="00D636AC">
        <w:rPr>
          <w:rFonts w:asciiTheme="majorBidi" w:hAnsiTheme="majorBidi" w:cstheme="majorBidi"/>
          <w:sz w:val="24"/>
          <w:szCs w:val="24"/>
        </w:rPr>
        <w:t xml:space="preserve"> protect MSCs from cytotoxic quorum sensing and signalling molecules. We conclude that the PEA polymer-coated </w:t>
      </w:r>
      <w:proofErr w:type="spellStart"/>
      <w:r w:rsidRPr="00D636AC">
        <w:rPr>
          <w:rFonts w:asciiTheme="majorBidi" w:hAnsiTheme="majorBidi" w:cstheme="majorBidi"/>
          <w:sz w:val="24"/>
          <w:szCs w:val="24"/>
        </w:rPr>
        <w:t>nanotopography</w:t>
      </w:r>
      <w:proofErr w:type="spellEnd"/>
      <w:r w:rsidRPr="00D636AC">
        <w:rPr>
          <w:rFonts w:asciiTheme="majorBidi" w:hAnsiTheme="majorBidi" w:cstheme="majorBidi"/>
          <w:sz w:val="24"/>
          <w:szCs w:val="24"/>
        </w:rPr>
        <w:t xml:space="preserve"> can both support MSCs </w:t>
      </w:r>
      <w:r w:rsidRPr="00D636AC">
        <w:rPr>
          <w:rFonts w:asciiTheme="majorBidi" w:hAnsiTheme="majorBidi" w:cstheme="majorBidi"/>
          <w:sz w:val="24"/>
          <w:szCs w:val="24"/>
        </w:rPr>
        <w:lastRenderedPageBreak/>
        <w:t>and prevent pathogens from adhering to a biomaterial surface, thus protecting from biofilm formation and bacterial infection and supporting osteogenic repair.</w:t>
      </w:r>
    </w:p>
    <w:p w14:paraId="4E15BBBE" w14:textId="33E7CC91" w:rsidR="00831C91" w:rsidRPr="00D636AC" w:rsidRDefault="00831C91" w:rsidP="00D636AC">
      <w:pPr>
        <w:spacing w:line="360" w:lineRule="auto"/>
        <w:jc w:val="both"/>
        <w:rPr>
          <w:rFonts w:asciiTheme="majorBidi" w:hAnsiTheme="majorBidi" w:cstheme="majorBidi"/>
          <w:sz w:val="24"/>
          <w:szCs w:val="24"/>
        </w:rPr>
      </w:pPr>
    </w:p>
    <w:p w14:paraId="2F9CA59E" w14:textId="77777777" w:rsidR="00831C91" w:rsidRPr="00D636AC" w:rsidRDefault="00831C91" w:rsidP="00D636AC">
      <w:pPr>
        <w:spacing w:after="0" w:line="360" w:lineRule="auto"/>
        <w:jc w:val="both"/>
        <w:rPr>
          <w:rFonts w:asciiTheme="majorBidi" w:hAnsiTheme="majorBidi" w:cstheme="majorBidi"/>
          <w:b/>
          <w:sz w:val="24"/>
          <w:szCs w:val="24"/>
        </w:rPr>
      </w:pPr>
      <w:r w:rsidRPr="00D636AC">
        <w:rPr>
          <w:rFonts w:asciiTheme="majorBidi" w:hAnsiTheme="majorBidi" w:cstheme="majorBidi"/>
          <w:b/>
          <w:sz w:val="24"/>
          <w:szCs w:val="24"/>
        </w:rPr>
        <w:t>3. Funder information:</w:t>
      </w:r>
    </w:p>
    <w:p w14:paraId="20B29AE8" w14:textId="77777777" w:rsidR="00831C91" w:rsidRPr="00D636AC" w:rsidRDefault="00831C91" w:rsidP="00D636AC">
      <w:pPr>
        <w:spacing w:line="360" w:lineRule="auto"/>
        <w:jc w:val="both"/>
        <w:rPr>
          <w:rFonts w:asciiTheme="majorBidi" w:hAnsiTheme="majorBidi" w:cstheme="majorBidi"/>
          <w:sz w:val="24"/>
          <w:szCs w:val="24"/>
        </w:rPr>
      </w:pPr>
      <w:r w:rsidRPr="00D636AC">
        <w:rPr>
          <w:rFonts w:asciiTheme="majorBidi" w:hAnsiTheme="majorBidi" w:cstheme="majorBidi"/>
          <w:sz w:val="24"/>
          <w:szCs w:val="24"/>
        </w:rPr>
        <w:t>L.A.D. was supported by a scholarship from Jeddah University and the Saudi Arabian Government.  The work was also supported by grants from EPSRC (EP/K034898/1) and MRC (MR/S010343/1).</w:t>
      </w:r>
    </w:p>
    <w:p w14:paraId="7EED694E" w14:textId="77777777" w:rsidR="00831C91" w:rsidRPr="00D636AC" w:rsidRDefault="00831C91" w:rsidP="00D636AC">
      <w:pPr>
        <w:spacing w:line="360" w:lineRule="auto"/>
        <w:jc w:val="both"/>
        <w:rPr>
          <w:rFonts w:asciiTheme="majorBidi" w:hAnsiTheme="majorBidi" w:cstheme="majorBidi"/>
          <w:sz w:val="24"/>
          <w:szCs w:val="24"/>
        </w:rPr>
      </w:pPr>
    </w:p>
    <w:p w14:paraId="7A8BFB3F" w14:textId="77777777" w:rsidR="00831C91" w:rsidRPr="00D636AC" w:rsidRDefault="00831C91" w:rsidP="00D636AC">
      <w:pPr>
        <w:spacing w:after="0" w:line="360" w:lineRule="auto"/>
        <w:jc w:val="both"/>
        <w:rPr>
          <w:rFonts w:asciiTheme="majorBidi" w:hAnsiTheme="majorBidi" w:cstheme="majorBidi"/>
          <w:b/>
          <w:sz w:val="24"/>
          <w:szCs w:val="24"/>
          <w:lang w:eastAsia="zh-CN"/>
        </w:rPr>
      </w:pPr>
      <w:r w:rsidRPr="00D636AC">
        <w:rPr>
          <w:rFonts w:asciiTheme="majorBidi" w:hAnsiTheme="majorBidi" w:cstheme="majorBidi"/>
          <w:b/>
          <w:sz w:val="24"/>
          <w:szCs w:val="24"/>
          <w:lang w:eastAsia="zh-CN"/>
        </w:rPr>
        <w:t>4. Dataset and readme information</w:t>
      </w:r>
    </w:p>
    <w:p w14:paraId="673287BC" w14:textId="3B200C7A" w:rsidR="00831C91" w:rsidRPr="00D636AC" w:rsidRDefault="00831C91" w:rsidP="00D636AC">
      <w:pPr>
        <w:spacing w:after="0" w:line="360" w:lineRule="auto"/>
        <w:jc w:val="both"/>
        <w:rPr>
          <w:rFonts w:asciiTheme="majorBidi" w:hAnsiTheme="majorBidi" w:cstheme="majorBidi"/>
          <w:b/>
          <w:sz w:val="24"/>
          <w:szCs w:val="24"/>
          <w:lang w:eastAsia="zh-CN"/>
        </w:rPr>
      </w:pPr>
      <w:r w:rsidRPr="00D636AC">
        <w:rPr>
          <w:rFonts w:asciiTheme="majorBidi" w:hAnsiTheme="majorBidi" w:cstheme="majorBidi"/>
          <w:b/>
          <w:sz w:val="24"/>
          <w:szCs w:val="24"/>
          <w:lang w:eastAsia="zh-CN"/>
        </w:rPr>
        <w:t>Data folders</w:t>
      </w:r>
      <w:r w:rsidR="00F004DC" w:rsidRPr="00D636AC">
        <w:rPr>
          <w:rFonts w:asciiTheme="majorBidi" w:hAnsiTheme="majorBidi" w:cstheme="majorBidi"/>
          <w:b/>
          <w:sz w:val="24"/>
          <w:szCs w:val="24"/>
          <w:lang w:eastAsia="zh-CN"/>
        </w:rPr>
        <w:t xml:space="preserve">: SEM images for </w:t>
      </w:r>
      <w:proofErr w:type="spellStart"/>
      <w:r w:rsidR="00F004DC" w:rsidRPr="00D636AC">
        <w:rPr>
          <w:rFonts w:asciiTheme="majorBidi" w:hAnsiTheme="majorBidi" w:cstheme="majorBidi"/>
          <w:b/>
          <w:sz w:val="24"/>
          <w:szCs w:val="24"/>
          <w:lang w:eastAsia="zh-CN"/>
        </w:rPr>
        <w:t>Ti</w:t>
      </w:r>
      <w:proofErr w:type="spellEnd"/>
      <w:r w:rsidR="00F004DC" w:rsidRPr="00D636AC">
        <w:rPr>
          <w:rFonts w:asciiTheme="majorBidi" w:hAnsiTheme="majorBidi" w:cstheme="majorBidi"/>
          <w:b/>
          <w:sz w:val="24"/>
          <w:szCs w:val="24"/>
          <w:lang w:eastAsia="zh-CN"/>
        </w:rPr>
        <w:t xml:space="preserve"> Fig1a, </w:t>
      </w:r>
      <w:r w:rsidR="006C10A6">
        <w:rPr>
          <w:rFonts w:asciiTheme="majorBidi" w:hAnsiTheme="majorBidi" w:cstheme="majorBidi"/>
          <w:b/>
          <w:sz w:val="24"/>
          <w:szCs w:val="24"/>
          <w:lang w:eastAsia="zh-CN"/>
        </w:rPr>
        <w:t xml:space="preserve">Fig 2 </w:t>
      </w:r>
      <w:r w:rsidR="00F004DC" w:rsidRPr="00D636AC">
        <w:rPr>
          <w:rFonts w:asciiTheme="majorBidi" w:hAnsiTheme="majorBidi" w:cstheme="majorBidi"/>
          <w:b/>
          <w:sz w:val="24"/>
          <w:szCs w:val="24"/>
          <w:lang w:eastAsia="zh-CN"/>
        </w:rPr>
        <w:t>and sup1</w:t>
      </w:r>
    </w:p>
    <w:p w14:paraId="07C5ABB0" w14:textId="77777777" w:rsidR="006C1EDF" w:rsidRPr="00D636AC" w:rsidRDefault="006C1EDF"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 xml:space="preserve">Nanowires production </w:t>
      </w:r>
      <w:r w:rsidRPr="00D636AC">
        <w:rPr>
          <w:rFonts w:asciiTheme="majorBidi" w:hAnsiTheme="majorBidi" w:cstheme="majorBidi"/>
          <w:sz w:val="24"/>
          <w:szCs w:val="24"/>
        </w:rPr>
        <w:t xml:space="preserve">The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disk samples were prepared from a 0.9 mm thick, and 10 mm dimeter; ASTM grade one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sheet (Baoji </w:t>
      </w:r>
      <w:proofErr w:type="spellStart"/>
      <w:r w:rsidRPr="00D636AC">
        <w:rPr>
          <w:rFonts w:asciiTheme="majorBidi" w:hAnsiTheme="majorBidi" w:cstheme="majorBidi"/>
          <w:sz w:val="24"/>
          <w:szCs w:val="24"/>
        </w:rPr>
        <w:t>HeQiang</w:t>
      </w:r>
      <w:proofErr w:type="spellEnd"/>
      <w:r w:rsidRPr="00D636AC">
        <w:rPr>
          <w:rFonts w:asciiTheme="majorBidi" w:hAnsiTheme="majorBidi" w:cstheme="majorBidi"/>
          <w:sz w:val="24"/>
          <w:szCs w:val="24"/>
        </w:rPr>
        <w:t xml:space="preserve"> Titanium Industry Co., China). The discs were polished to a mirror image and ultrasonically cleaned in water and ethanol. Nanowires were created by immersing the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disks in 1 M NaOH in a PTFE lined steel vessel, at a temperature of 240 °C for 1 hr or 2 hr. The samples were rinsed in water and ethanol, sequentially and they were subsequently heat treated at 300 °C for 1 hr prior to ion exchange in HCl. To convert the sodium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nanowires to TiO</w:t>
      </w:r>
      <w:r w:rsidRPr="00D636AC">
        <w:rPr>
          <w:rFonts w:asciiTheme="majorBidi" w:hAnsiTheme="majorBidi" w:cstheme="majorBidi"/>
          <w:sz w:val="24"/>
          <w:szCs w:val="24"/>
          <w:vertAlign w:val="subscript"/>
        </w:rPr>
        <w:t>2</w:t>
      </w:r>
      <w:r w:rsidRPr="00D636AC">
        <w:rPr>
          <w:rFonts w:asciiTheme="majorBidi" w:hAnsiTheme="majorBidi" w:cstheme="majorBidi"/>
          <w:sz w:val="24"/>
          <w:szCs w:val="24"/>
        </w:rPr>
        <w:t xml:space="preserve"> the samples were immersed in 0.6 M HCl for 1 hr, rinsed in water and ethanol, and finally heat treated at 600 °C for 2 hr </w:t>
      </w:r>
    </w:p>
    <w:p w14:paraId="4F81B61A" w14:textId="578B77B7" w:rsidR="006C1EDF" w:rsidRDefault="006C1EDF" w:rsidP="00D636AC">
      <w:pPr>
        <w:spacing w:line="360" w:lineRule="auto"/>
        <w:jc w:val="both"/>
        <w:rPr>
          <w:rFonts w:asciiTheme="majorBidi" w:hAnsiTheme="majorBidi" w:cstheme="majorBidi"/>
          <w:iCs/>
          <w:sz w:val="24"/>
          <w:szCs w:val="24"/>
        </w:rPr>
      </w:pPr>
      <w:r w:rsidRPr="00D636AC">
        <w:rPr>
          <w:rFonts w:asciiTheme="majorBidi" w:hAnsiTheme="majorBidi" w:cstheme="majorBidi"/>
          <w:b/>
          <w:sz w:val="24"/>
          <w:szCs w:val="24"/>
        </w:rPr>
        <w:t>Figure 1-a:</w:t>
      </w:r>
      <w:r w:rsidRPr="00D636AC">
        <w:rPr>
          <w:rFonts w:asciiTheme="majorBidi" w:hAnsiTheme="majorBidi" w:cstheme="majorBidi"/>
          <w:sz w:val="24"/>
          <w:szCs w:val="24"/>
        </w:rPr>
        <w:t xml:space="preserve"> </w:t>
      </w:r>
      <w:r w:rsidRPr="00D636AC">
        <w:rPr>
          <w:rFonts w:asciiTheme="majorBidi" w:hAnsiTheme="majorBidi" w:cstheme="majorBidi"/>
          <w:iCs/>
          <w:sz w:val="24"/>
          <w:szCs w:val="24"/>
        </w:rPr>
        <w:t xml:space="preserve">SEM images of flat control, 1hr nanospikes and 2 hr nanospikes showing the formation of high aspect ratio nanofeatures with increasing size. </w:t>
      </w:r>
    </w:p>
    <w:p w14:paraId="385B72D4" w14:textId="77777777" w:rsidR="006C10A6" w:rsidRDefault="006C10A6" w:rsidP="006C10A6">
      <w:pPr>
        <w:spacing w:after="0" w:line="240" w:lineRule="auto"/>
        <w:rPr>
          <w:rFonts w:ascii="Times New Roman" w:eastAsia="Times New Roman" w:hAnsi="Times New Roman" w:cs="Times New Roman"/>
          <w:sz w:val="24"/>
          <w:szCs w:val="24"/>
          <w:lang/>
        </w:rPr>
      </w:pPr>
      <w:r>
        <w:rPr>
          <w:rFonts w:asciiTheme="majorBidi" w:hAnsiTheme="majorBidi" w:cstheme="majorBidi"/>
          <w:b/>
          <w:sz w:val="24"/>
          <w:szCs w:val="24"/>
          <w:lang w:eastAsia="zh-CN"/>
        </w:rPr>
        <w:t xml:space="preserve">Figure 2: </w:t>
      </w:r>
      <w:r w:rsidRPr="00A50774">
        <w:rPr>
          <w:rFonts w:ascii="Times New Roman" w:eastAsia="Times New Roman" w:hAnsi="Times New Roman" w:cs="Times New Roman"/>
          <w:sz w:val="24"/>
          <w:szCs w:val="24"/>
          <w:lang/>
        </w:rPr>
        <w:t>Schematic depiction of fabrication of plasma PEA coated nanowires.</w:t>
      </w:r>
    </w:p>
    <w:p w14:paraId="68AE43AC" w14:textId="77777777" w:rsidR="006C10A6" w:rsidRDefault="006C10A6" w:rsidP="006C10A6">
      <w:pPr>
        <w:spacing w:after="0" w:line="240" w:lineRule="auto"/>
        <w:rPr>
          <w:rFonts w:ascii="Times New Roman" w:eastAsia="Times New Roman" w:hAnsi="Times New Roman" w:cs="Times New Roman"/>
          <w:sz w:val="24"/>
          <w:szCs w:val="24"/>
          <w:lang/>
        </w:rPr>
      </w:pPr>
    </w:p>
    <w:p w14:paraId="2C3FB4CB" w14:textId="0067027E" w:rsidR="006C1EDF" w:rsidRPr="006C10A6" w:rsidRDefault="006C1EDF" w:rsidP="006C10A6">
      <w:pPr>
        <w:spacing w:after="0" w:line="360" w:lineRule="auto"/>
        <w:rPr>
          <w:rFonts w:ascii="Times New Roman" w:eastAsia="Times New Roman" w:hAnsi="Times New Roman" w:cs="Times New Roman"/>
          <w:sz w:val="24"/>
          <w:szCs w:val="24"/>
          <w:lang/>
        </w:rPr>
      </w:pPr>
      <w:r w:rsidRPr="00D636AC">
        <w:rPr>
          <w:rFonts w:asciiTheme="majorBidi" w:hAnsiTheme="majorBidi" w:cstheme="majorBidi"/>
          <w:b/>
          <w:sz w:val="24"/>
          <w:szCs w:val="24"/>
        </w:rPr>
        <w:t>Supplementary Figure 1:</w:t>
      </w:r>
      <w:r w:rsidRPr="00D636AC">
        <w:rPr>
          <w:rFonts w:asciiTheme="majorBidi" w:hAnsiTheme="majorBidi" w:cstheme="majorBidi"/>
          <w:sz w:val="24"/>
          <w:szCs w:val="24"/>
        </w:rPr>
        <w:t xml:space="preserve"> </w:t>
      </w:r>
      <w:r w:rsidRPr="00D636AC">
        <w:rPr>
          <w:rFonts w:asciiTheme="majorBidi" w:hAnsiTheme="majorBidi" w:cstheme="majorBidi"/>
          <w:iCs/>
          <w:sz w:val="24"/>
          <w:szCs w:val="24"/>
        </w:rPr>
        <w:t xml:space="preserve">SEM imaging of </w:t>
      </w:r>
      <w:proofErr w:type="spellStart"/>
      <w:r w:rsidRPr="00D636AC">
        <w:rPr>
          <w:rFonts w:asciiTheme="majorBidi" w:hAnsiTheme="majorBidi" w:cstheme="majorBidi"/>
          <w:iCs/>
          <w:sz w:val="24"/>
          <w:szCs w:val="24"/>
        </w:rPr>
        <w:t>Ti</w:t>
      </w:r>
      <w:proofErr w:type="spellEnd"/>
      <w:r w:rsidRPr="00D636AC">
        <w:rPr>
          <w:rFonts w:asciiTheme="majorBidi" w:hAnsiTheme="majorBidi" w:cstheme="majorBidi"/>
          <w:iCs/>
          <w:sz w:val="24"/>
          <w:szCs w:val="24"/>
        </w:rPr>
        <w:t xml:space="preserve"> nanowire surfaces with and without PEA coating. The images show that height of the nanofeatures increase proportionally with </w:t>
      </w:r>
      <w:proofErr w:type="spellStart"/>
      <w:r w:rsidRPr="00D636AC">
        <w:rPr>
          <w:rFonts w:asciiTheme="majorBidi" w:hAnsiTheme="majorBidi" w:cstheme="majorBidi"/>
          <w:iCs/>
          <w:sz w:val="24"/>
          <w:szCs w:val="24"/>
        </w:rPr>
        <w:t>anodisation</w:t>
      </w:r>
      <w:proofErr w:type="spellEnd"/>
      <w:r w:rsidRPr="00D636AC">
        <w:rPr>
          <w:rFonts w:asciiTheme="majorBidi" w:hAnsiTheme="majorBidi" w:cstheme="majorBidi"/>
          <w:iCs/>
          <w:sz w:val="24"/>
          <w:szCs w:val="24"/>
        </w:rPr>
        <w:t xml:space="preserve"> time and that the thin PEA coatings to not effect nanowire morphology.</w:t>
      </w:r>
    </w:p>
    <w:p w14:paraId="3A2387F9" w14:textId="77777777" w:rsidR="00F004DC" w:rsidRPr="00D636AC" w:rsidRDefault="00F004DC" w:rsidP="00D636AC">
      <w:pPr>
        <w:spacing w:line="360" w:lineRule="auto"/>
        <w:jc w:val="both"/>
        <w:rPr>
          <w:rFonts w:asciiTheme="majorBidi" w:hAnsiTheme="majorBidi" w:cstheme="majorBidi"/>
          <w:b/>
          <w:sz w:val="24"/>
          <w:szCs w:val="24"/>
          <w:lang w:eastAsia="zh-CN"/>
        </w:rPr>
      </w:pPr>
    </w:p>
    <w:p w14:paraId="47A5000F" w14:textId="0DD9201C" w:rsidR="006C1EDF" w:rsidRPr="00D636AC" w:rsidRDefault="00F004DC"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lang w:eastAsia="zh-CN"/>
        </w:rPr>
        <w:t>Data folders: AFM images and calculations, fig1-b&amp;c</w:t>
      </w:r>
    </w:p>
    <w:p w14:paraId="734A61F3" w14:textId="77777777" w:rsidR="006C1EDF" w:rsidRPr="00D636AC" w:rsidRDefault="006C1EDF"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AFM characterisation:</w:t>
      </w:r>
      <w:r w:rsidRPr="00D636AC">
        <w:rPr>
          <w:rFonts w:asciiTheme="majorBidi" w:hAnsiTheme="majorBidi" w:cstheme="majorBidi"/>
          <w:sz w:val="24"/>
          <w:szCs w:val="24"/>
        </w:rPr>
        <w:t xml:space="preserve"> AFM images optioned on flat and nanowires samples pre- and post- coating with PEA. AFM experiments were performed using a Multimode AFM equipped with </w:t>
      </w:r>
      <w:proofErr w:type="spellStart"/>
      <w:r w:rsidRPr="00D636AC">
        <w:rPr>
          <w:rFonts w:asciiTheme="majorBidi" w:hAnsiTheme="majorBidi" w:cstheme="majorBidi"/>
          <w:sz w:val="24"/>
          <w:szCs w:val="24"/>
        </w:rPr>
        <w:t>NanoScope</w:t>
      </w:r>
      <w:proofErr w:type="spellEnd"/>
      <w:r w:rsidRPr="00D636AC">
        <w:rPr>
          <w:rFonts w:asciiTheme="majorBidi" w:hAnsiTheme="majorBidi" w:cstheme="majorBidi"/>
          <w:sz w:val="24"/>
          <w:szCs w:val="24"/>
        </w:rPr>
        <w:t xml:space="preserve"> IIIa controller from </w:t>
      </w:r>
      <w:proofErr w:type="spellStart"/>
      <w:r w:rsidRPr="00D636AC">
        <w:rPr>
          <w:rFonts w:asciiTheme="majorBidi" w:hAnsiTheme="majorBidi" w:cstheme="majorBidi"/>
          <w:sz w:val="24"/>
          <w:szCs w:val="24"/>
        </w:rPr>
        <w:t>Veeco</w:t>
      </w:r>
      <w:proofErr w:type="spellEnd"/>
      <w:r w:rsidRPr="00D636AC">
        <w:rPr>
          <w:rFonts w:asciiTheme="majorBidi" w:hAnsiTheme="majorBidi" w:cstheme="majorBidi"/>
          <w:sz w:val="24"/>
          <w:szCs w:val="24"/>
        </w:rPr>
        <w:t xml:space="preserve"> (Manchester, UK) operating in tapping mode in air; the </w:t>
      </w:r>
      <w:r w:rsidRPr="00D636AC">
        <w:rPr>
          <w:rFonts w:asciiTheme="majorBidi" w:hAnsiTheme="majorBidi" w:cstheme="majorBidi"/>
          <w:sz w:val="24"/>
          <w:szCs w:val="24"/>
        </w:rPr>
        <w:lastRenderedPageBreak/>
        <w:t xml:space="preserve">Nano- scope 5.30r2 software version was used. Si-cantilevers from </w:t>
      </w:r>
      <w:proofErr w:type="spellStart"/>
      <w:r w:rsidRPr="00D636AC">
        <w:rPr>
          <w:rFonts w:asciiTheme="majorBidi" w:hAnsiTheme="majorBidi" w:cstheme="majorBidi"/>
          <w:sz w:val="24"/>
          <w:szCs w:val="24"/>
        </w:rPr>
        <w:t>Veeco</w:t>
      </w:r>
      <w:proofErr w:type="spellEnd"/>
      <w:r w:rsidRPr="00D636AC">
        <w:rPr>
          <w:rFonts w:asciiTheme="majorBidi" w:hAnsiTheme="majorBidi" w:cstheme="majorBidi"/>
          <w:sz w:val="24"/>
          <w:szCs w:val="24"/>
        </w:rPr>
        <w:t xml:space="preserve"> were used with force constant of 2.8 N/m and resonance frequency of 70 kHz. The phase signal was set to zero at a frequency 5% to 10% lower than the resonance one. Drive amplitude was 600 mV and the amplitude set point Asp was 1.8 V. The ratio between the amplitude set point and the free amplitude Asp/A0 was between 0.4 - 0.8.</w:t>
      </w:r>
    </w:p>
    <w:p w14:paraId="68F4956D" w14:textId="0745A3B0" w:rsidR="006C1EDF" w:rsidRPr="00D636AC" w:rsidRDefault="006C1EDF" w:rsidP="00D636AC">
      <w:pPr>
        <w:spacing w:line="360" w:lineRule="auto"/>
        <w:jc w:val="both"/>
        <w:rPr>
          <w:rFonts w:asciiTheme="majorBidi" w:hAnsiTheme="majorBidi" w:cstheme="majorBidi"/>
          <w:iCs/>
          <w:sz w:val="24"/>
          <w:szCs w:val="24"/>
        </w:rPr>
      </w:pPr>
      <w:r w:rsidRPr="00D636AC">
        <w:rPr>
          <w:rFonts w:asciiTheme="majorBidi" w:hAnsiTheme="majorBidi" w:cstheme="majorBidi"/>
          <w:b/>
          <w:sz w:val="24"/>
          <w:szCs w:val="24"/>
        </w:rPr>
        <w:t>Figure 1-b</w:t>
      </w:r>
      <w:r w:rsidR="00F004DC" w:rsidRPr="00D636AC">
        <w:rPr>
          <w:rFonts w:asciiTheme="majorBidi" w:hAnsiTheme="majorBidi" w:cstheme="majorBidi"/>
          <w:b/>
          <w:sz w:val="24"/>
          <w:szCs w:val="24"/>
        </w:rPr>
        <w:t>&amp;c</w:t>
      </w:r>
      <w:r w:rsidRPr="00D636AC">
        <w:rPr>
          <w:rFonts w:asciiTheme="majorBidi" w:hAnsiTheme="majorBidi" w:cstheme="majorBidi"/>
          <w:b/>
          <w:sz w:val="24"/>
          <w:szCs w:val="24"/>
        </w:rPr>
        <w:t xml:space="preserve">: </w:t>
      </w:r>
      <w:r w:rsidR="00F004DC" w:rsidRPr="00D636AC">
        <w:rPr>
          <w:rFonts w:asciiTheme="majorBidi" w:hAnsiTheme="majorBidi" w:cstheme="majorBidi"/>
          <w:b/>
          <w:sz w:val="24"/>
          <w:szCs w:val="24"/>
        </w:rPr>
        <w:t xml:space="preserve">b: </w:t>
      </w:r>
      <w:r w:rsidRPr="00D636AC">
        <w:rPr>
          <w:rFonts w:asciiTheme="majorBidi" w:hAnsiTheme="majorBidi" w:cstheme="majorBidi"/>
          <w:iCs/>
          <w:sz w:val="24"/>
          <w:szCs w:val="24"/>
        </w:rPr>
        <w:t>AFM images of uncoated, 90 sec and 3 min PEA coated flat controls, 1 hr and 2 hr topographies showing that the topography survives the PEA coating process.</w:t>
      </w:r>
      <w:r w:rsidR="00F004DC" w:rsidRPr="00D636AC">
        <w:rPr>
          <w:rFonts w:asciiTheme="majorBidi" w:hAnsiTheme="majorBidi" w:cstheme="majorBidi"/>
          <w:iCs/>
          <w:sz w:val="24"/>
          <w:szCs w:val="24"/>
        </w:rPr>
        <w:t xml:space="preserve"> </w:t>
      </w:r>
      <w:r w:rsidR="00F004DC" w:rsidRPr="00D636AC">
        <w:rPr>
          <w:rFonts w:asciiTheme="majorBidi" w:hAnsiTheme="majorBidi" w:cstheme="majorBidi"/>
          <w:b/>
          <w:iCs/>
          <w:sz w:val="24"/>
          <w:szCs w:val="24"/>
        </w:rPr>
        <w:t>c:</w:t>
      </w:r>
      <w:r w:rsidR="00F004DC" w:rsidRPr="00D636AC">
        <w:rPr>
          <w:rFonts w:asciiTheme="majorBidi" w:hAnsiTheme="majorBidi" w:cstheme="majorBidi"/>
          <w:iCs/>
          <w:sz w:val="24"/>
          <w:szCs w:val="24"/>
        </w:rPr>
        <w:t xml:space="preserve"> AFM Ra measurements.</w:t>
      </w:r>
    </w:p>
    <w:p w14:paraId="15A547DE" w14:textId="77777777" w:rsidR="00F004DC" w:rsidRPr="00D636AC" w:rsidRDefault="00F004DC" w:rsidP="00D636AC">
      <w:pPr>
        <w:spacing w:line="360" w:lineRule="auto"/>
        <w:jc w:val="both"/>
        <w:rPr>
          <w:rFonts w:asciiTheme="majorBidi" w:hAnsiTheme="majorBidi" w:cstheme="majorBidi"/>
          <w:iCs/>
          <w:sz w:val="24"/>
          <w:szCs w:val="24"/>
        </w:rPr>
      </w:pPr>
    </w:p>
    <w:p w14:paraId="3AD03503" w14:textId="47C35470" w:rsidR="00F004DC" w:rsidRPr="00D636AC" w:rsidRDefault="00F004DC"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lang w:eastAsia="zh-CN"/>
        </w:rPr>
        <w:t>Data folders: WCA measurements, fig1-d</w:t>
      </w:r>
    </w:p>
    <w:p w14:paraId="11019C16" w14:textId="77777777" w:rsidR="00F004DC" w:rsidRPr="00D636AC" w:rsidRDefault="00F004DC"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WCA:</w:t>
      </w:r>
      <w:r w:rsidRPr="00D636AC">
        <w:rPr>
          <w:rFonts w:asciiTheme="majorBidi" w:hAnsiTheme="majorBidi" w:cstheme="majorBidi"/>
          <w:sz w:val="24"/>
          <w:szCs w:val="24"/>
        </w:rPr>
        <w:t xml:space="preserve">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surface wettability was characterized by measuring WCA statically using the sessile drop method with 3 </w:t>
      </w:r>
      <w:proofErr w:type="spellStart"/>
      <w:r w:rsidRPr="00D636AC">
        <w:rPr>
          <w:rFonts w:asciiTheme="majorBidi" w:hAnsiTheme="majorBidi" w:cstheme="majorBidi"/>
          <w:sz w:val="24"/>
          <w:szCs w:val="24"/>
        </w:rPr>
        <w:t>μL</w:t>
      </w:r>
      <w:proofErr w:type="spellEnd"/>
      <w:r w:rsidRPr="00D636AC">
        <w:rPr>
          <w:rFonts w:asciiTheme="majorBidi" w:hAnsiTheme="majorBidi" w:cstheme="majorBidi"/>
          <w:sz w:val="24"/>
          <w:szCs w:val="24"/>
        </w:rPr>
        <w:t xml:space="preserve"> drops for 30 seconds (Optical Tensiometer Theta, </w:t>
      </w:r>
      <w:proofErr w:type="spellStart"/>
      <w:r w:rsidRPr="00D636AC">
        <w:rPr>
          <w:rFonts w:asciiTheme="majorBidi" w:hAnsiTheme="majorBidi" w:cstheme="majorBidi"/>
          <w:sz w:val="24"/>
          <w:szCs w:val="24"/>
        </w:rPr>
        <w:t>Biolin</w:t>
      </w:r>
      <w:proofErr w:type="spellEnd"/>
      <w:r w:rsidRPr="00D636AC">
        <w:rPr>
          <w:rFonts w:asciiTheme="majorBidi" w:hAnsiTheme="majorBidi" w:cstheme="majorBidi"/>
          <w:sz w:val="24"/>
          <w:szCs w:val="24"/>
        </w:rPr>
        <w:t xml:space="preserve"> Scientific). </w:t>
      </w:r>
    </w:p>
    <w:p w14:paraId="691ADD1F" w14:textId="32B91B80" w:rsidR="00F004DC" w:rsidRDefault="00F004DC" w:rsidP="00526F9D">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Figure 1-d:</w:t>
      </w:r>
      <w:r w:rsidRPr="00D636AC">
        <w:rPr>
          <w:rFonts w:asciiTheme="majorBidi" w:hAnsiTheme="majorBidi" w:cstheme="majorBidi"/>
          <w:sz w:val="24"/>
          <w:szCs w:val="24"/>
        </w:rPr>
        <w:t xml:space="preserve"> Sessile drop contact angle measurements showing increased hydrophobicity with addition of the PEA coatings</w:t>
      </w:r>
      <w:r w:rsidR="00526F9D">
        <w:rPr>
          <w:rFonts w:asciiTheme="majorBidi" w:hAnsiTheme="majorBidi" w:cstheme="majorBidi"/>
          <w:sz w:val="24"/>
          <w:szCs w:val="24"/>
        </w:rPr>
        <w:t>.</w:t>
      </w:r>
    </w:p>
    <w:p w14:paraId="0260D29F" w14:textId="77777777" w:rsidR="00526F9D" w:rsidRPr="00D636AC" w:rsidRDefault="00526F9D" w:rsidP="00526F9D">
      <w:pPr>
        <w:spacing w:line="360" w:lineRule="auto"/>
        <w:jc w:val="both"/>
        <w:rPr>
          <w:rFonts w:asciiTheme="majorBidi" w:hAnsiTheme="majorBidi" w:cstheme="majorBidi"/>
          <w:sz w:val="24"/>
          <w:szCs w:val="24"/>
        </w:rPr>
      </w:pPr>
    </w:p>
    <w:p w14:paraId="3AA955CC" w14:textId="22F8067D" w:rsidR="00F004DC" w:rsidRPr="00D636AC" w:rsidRDefault="00F004DC" w:rsidP="00D636AC">
      <w:pPr>
        <w:spacing w:line="360" w:lineRule="auto"/>
        <w:jc w:val="both"/>
        <w:rPr>
          <w:rFonts w:asciiTheme="majorBidi" w:hAnsiTheme="majorBidi" w:cstheme="majorBidi"/>
          <w:b/>
          <w:sz w:val="24"/>
          <w:szCs w:val="24"/>
          <w:lang w:eastAsia="zh-CN"/>
        </w:rPr>
      </w:pPr>
      <w:r w:rsidRPr="00D636AC">
        <w:rPr>
          <w:rFonts w:asciiTheme="majorBidi" w:hAnsiTheme="majorBidi" w:cstheme="majorBidi"/>
          <w:b/>
          <w:sz w:val="24"/>
          <w:szCs w:val="24"/>
          <w:lang w:eastAsia="zh-CN"/>
        </w:rPr>
        <w:t>Data folders: XPS, fig1-e&amp;f</w:t>
      </w:r>
    </w:p>
    <w:p w14:paraId="56EF55F3" w14:textId="77777777" w:rsidR="00F004DC" w:rsidRPr="00D636AC" w:rsidRDefault="00F004DC"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XPS:</w:t>
      </w:r>
      <w:r w:rsidRPr="00D636AC">
        <w:rPr>
          <w:rFonts w:asciiTheme="majorBidi" w:hAnsiTheme="majorBidi" w:cstheme="majorBidi"/>
          <w:sz w:val="24"/>
          <w:szCs w:val="24"/>
        </w:rPr>
        <w:t xml:space="preserve"> XPS used here to analyse the chemical components of the metal alloys pre- and post- plasma PEA coating. The measurement spectra were obtained at the National EPSRC XPS Users’ Service (NEXUS) at Newcastle University, an EPSRC Mid-Range Facility. XPS was performed using a K-Alpha apparatus (Thermo Scientific), with a micro-focused monochromatic Al Kα source (X-ray energy = 1486.6 eV) at a voltage of 12 kV, current of 3 mA, power of 36 W, and spot size of 400 </w:t>
      </w:r>
      <w:proofErr w:type="spellStart"/>
      <w:r w:rsidRPr="00D636AC">
        <w:rPr>
          <w:rFonts w:asciiTheme="majorBidi" w:hAnsiTheme="majorBidi" w:cstheme="majorBidi"/>
          <w:sz w:val="24"/>
          <w:szCs w:val="24"/>
        </w:rPr>
        <w:t>μm</w:t>
      </w:r>
      <w:proofErr w:type="spellEnd"/>
      <w:r w:rsidRPr="00D636AC">
        <w:rPr>
          <w:rFonts w:asciiTheme="majorBidi" w:hAnsiTheme="majorBidi" w:cstheme="majorBidi"/>
          <w:sz w:val="24"/>
          <w:szCs w:val="24"/>
        </w:rPr>
        <w:t xml:space="preserve"> × 800 </w:t>
      </w:r>
      <w:proofErr w:type="spellStart"/>
      <w:r w:rsidRPr="00D636AC">
        <w:rPr>
          <w:rFonts w:asciiTheme="majorBidi" w:hAnsiTheme="majorBidi" w:cstheme="majorBidi"/>
          <w:sz w:val="24"/>
          <w:szCs w:val="24"/>
        </w:rPr>
        <w:t>μm</w:t>
      </w:r>
      <w:proofErr w:type="spellEnd"/>
      <w:r w:rsidRPr="00D636AC">
        <w:rPr>
          <w:rFonts w:asciiTheme="majorBidi" w:hAnsiTheme="majorBidi" w:cstheme="majorBidi"/>
          <w:sz w:val="24"/>
          <w:szCs w:val="24"/>
        </w:rPr>
        <w:t xml:space="preserve">. Spectra analysis and curve fitting were performed using </w:t>
      </w:r>
      <w:proofErr w:type="spellStart"/>
      <w:r w:rsidRPr="00D636AC">
        <w:rPr>
          <w:rFonts w:asciiTheme="majorBidi" w:hAnsiTheme="majorBidi" w:cstheme="majorBidi"/>
          <w:sz w:val="24"/>
          <w:szCs w:val="24"/>
        </w:rPr>
        <w:t>CasaXPS</w:t>
      </w:r>
      <w:proofErr w:type="spellEnd"/>
      <w:r w:rsidRPr="00D636AC">
        <w:rPr>
          <w:rFonts w:asciiTheme="majorBidi" w:hAnsiTheme="majorBidi" w:cstheme="majorBidi"/>
          <w:sz w:val="24"/>
          <w:szCs w:val="24"/>
        </w:rPr>
        <w:t xml:space="preserve"> software version 2.3.16.</w:t>
      </w:r>
    </w:p>
    <w:p w14:paraId="2DAD2D1F" w14:textId="06B56B10" w:rsidR="00F004DC" w:rsidRPr="00D636AC" w:rsidRDefault="00F004DC"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t>Figure 1-e&amp;f:</w:t>
      </w:r>
      <w:r w:rsidRPr="00D636AC">
        <w:rPr>
          <w:rFonts w:asciiTheme="majorBidi" w:hAnsiTheme="majorBidi" w:cstheme="majorBidi"/>
          <w:sz w:val="24"/>
          <w:szCs w:val="24"/>
        </w:rPr>
        <w:t xml:space="preserve"> </w:t>
      </w:r>
      <w:r w:rsidRPr="00D636AC">
        <w:rPr>
          <w:rFonts w:asciiTheme="majorBidi" w:hAnsiTheme="majorBidi" w:cstheme="majorBidi"/>
          <w:b/>
          <w:sz w:val="24"/>
          <w:szCs w:val="24"/>
        </w:rPr>
        <w:t>e:</w:t>
      </w:r>
      <w:r w:rsidRPr="00D636AC">
        <w:rPr>
          <w:rFonts w:asciiTheme="majorBidi" w:hAnsiTheme="majorBidi" w:cstheme="majorBidi"/>
          <w:sz w:val="24"/>
          <w:szCs w:val="24"/>
        </w:rPr>
        <w:t xml:space="preserve"> XPS spectra generated from PEA reference. </w:t>
      </w:r>
      <w:r w:rsidRPr="00D636AC">
        <w:rPr>
          <w:rFonts w:asciiTheme="majorBidi" w:hAnsiTheme="majorBidi" w:cstheme="majorBidi"/>
          <w:b/>
          <w:sz w:val="24"/>
          <w:szCs w:val="24"/>
        </w:rPr>
        <w:t>f:</w:t>
      </w:r>
      <w:r w:rsidRPr="00D636AC">
        <w:rPr>
          <w:rFonts w:asciiTheme="majorBidi" w:hAnsiTheme="majorBidi" w:cstheme="majorBidi"/>
          <w:sz w:val="24"/>
          <w:szCs w:val="24"/>
        </w:rPr>
        <w:t xml:space="preserve"> XPS measurements of uncoated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controls with and without topography showing the presence of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and O. XPS </w:t>
      </w:r>
      <w:proofErr w:type="spellStart"/>
      <w:r w:rsidRPr="00D636AC">
        <w:rPr>
          <w:rFonts w:asciiTheme="majorBidi" w:hAnsiTheme="majorBidi" w:cstheme="majorBidi"/>
          <w:sz w:val="24"/>
          <w:szCs w:val="24"/>
        </w:rPr>
        <w:t>spectras</w:t>
      </w:r>
      <w:proofErr w:type="spellEnd"/>
      <w:r w:rsidRPr="00D636AC">
        <w:rPr>
          <w:rFonts w:asciiTheme="majorBidi" w:hAnsiTheme="majorBidi" w:cstheme="majorBidi"/>
          <w:sz w:val="24"/>
          <w:szCs w:val="24"/>
        </w:rPr>
        <w:t xml:space="preserve"> for 90 sec and 3 min PEA coatings showing that with the shorter, 90 sec, coating, while peaks related to PEA were clearly seen, </w:t>
      </w:r>
      <w:proofErr w:type="spellStart"/>
      <w:r w:rsidRPr="00D636AC">
        <w:rPr>
          <w:rFonts w:asciiTheme="majorBidi" w:hAnsiTheme="majorBidi" w:cstheme="majorBidi"/>
          <w:sz w:val="24"/>
          <w:szCs w:val="24"/>
        </w:rPr>
        <w:t>Ti</w:t>
      </w:r>
      <w:proofErr w:type="spellEnd"/>
      <w:r w:rsidRPr="00D636AC">
        <w:rPr>
          <w:rFonts w:asciiTheme="majorBidi" w:hAnsiTheme="majorBidi" w:cstheme="majorBidi"/>
          <w:sz w:val="24"/>
          <w:szCs w:val="24"/>
        </w:rPr>
        <w:t xml:space="preserve"> could still be detected, while at 3 mins, only peaks related to PEA were observed. The data shows that high aspect ratio topographies were successfully fabricated and coated with </w:t>
      </w:r>
      <w:proofErr w:type="spellStart"/>
      <w:r w:rsidRPr="00D636AC">
        <w:rPr>
          <w:rFonts w:asciiTheme="majorBidi" w:hAnsiTheme="majorBidi" w:cstheme="majorBidi"/>
          <w:sz w:val="24"/>
          <w:szCs w:val="24"/>
        </w:rPr>
        <w:t>pPEA</w:t>
      </w:r>
      <w:proofErr w:type="spellEnd"/>
      <w:r w:rsidRPr="00D636AC">
        <w:rPr>
          <w:rFonts w:asciiTheme="majorBidi" w:hAnsiTheme="majorBidi" w:cstheme="majorBidi"/>
          <w:sz w:val="24"/>
          <w:szCs w:val="24"/>
        </w:rPr>
        <w:t>.</w:t>
      </w:r>
    </w:p>
    <w:p w14:paraId="78D8E76D" w14:textId="5E5529D0" w:rsidR="00A75D49" w:rsidRPr="00D636AC" w:rsidRDefault="00A75D49" w:rsidP="00D636AC">
      <w:pPr>
        <w:spacing w:line="360" w:lineRule="auto"/>
        <w:jc w:val="both"/>
        <w:rPr>
          <w:rFonts w:asciiTheme="majorBidi" w:hAnsiTheme="majorBidi" w:cstheme="majorBidi"/>
          <w:sz w:val="24"/>
          <w:szCs w:val="24"/>
        </w:rPr>
      </w:pPr>
      <w:r w:rsidRPr="00D636AC">
        <w:rPr>
          <w:rFonts w:asciiTheme="majorBidi" w:hAnsiTheme="majorBidi" w:cstheme="majorBidi"/>
          <w:b/>
          <w:sz w:val="24"/>
          <w:szCs w:val="24"/>
        </w:rPr>
        <w:lastRenderedPageBreak/>
        <w:t xml:space="preserve">Supplementary Figure 2: </w:t>
      </w:r>
      <w:r w:rsidRPr="00D636AC">
        <w:rPr>
          <w:rFonts w:asciiTheme="majorBidi" w:hAnsiTheme="majorBidi" w:cstheme="majorBidi"/>
          <w:i/>
          <w:iCs/>
          <w:sz w:val="24"/>
          <w:szCs w:val="24"/>
        </w:rPr>
        <w:t>Enlargements of XPS images from Figure 1f</w:t>
      </w:r>
    </w:p>
    <w:p w14:paraId="7845C4A1" w14:textId="049A805F" w:rsidR="00F004DC" w:rsidRPr="00D636AC" w:rsidRDefault="00F004DC"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lang w:eastAsia="zh-CN"/>
        </w:rPr>
        <w:t>Data folders: qPCR, fig1-a</w:t>
      </w:r>
      <w:r w:rsidR="00A50774">
        <w:rPr>
          <w:rFonts w:asciiTheme="majorBidi" w:hAnsiTheme="majorBidi" w:cstheme="majorBidi"/>
          <w:b/>
          <w:lang w:eastAsia="zh-CN"/>
        </w:rPr>
        <w:t xml:space="preserve">, </w:t>
      </w:r>
      <w:r w:rsidRPr="00D636AC">
        <w:rPr>
          <w:rFonts w:asciiTheme="majorBidi" w:hAnsiTheme="majorBidi" w:cstheme="majorBidi"/>
          <w:b/>
          <w:lang w:eastAsia="zh-CN"/>
        </w:rPr>
        <w:t>b</w:t>
      </w:r>
      <w:r w:rsidR="00A50774">
        <w:rPr>
          <w:rFonts w:asciiTheme="majorBidi" w:hAnsiTheme="majorBidi" w:cstheme="majorBidi"/>
          <w:b/>
          <w:lang w:eastAsia="zh-CN"/>
        </w:rPr>
        <w:t xml:space="preserve"> &amp;f</w:t>
      </w:r>
      <w:r w:rsidRPr="00D636AC">
        <w:rPr>
          <w:rFonts w:asciiTheme="majorBidi" w:hAnsiTheme="majorBidi" w:cstheme="majorBidi"/>
        </w:rPr>
        <w:t xml:space="preserve"> </w:t>
      </w:r>
    </w:p>
    <w:p w14:paraId="170510A2" w14:textId="1AE7C40D" w:rsidR="00E041B5" w:rsidRPr="00D636AC" w:rsidRDefault="00E041B5"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Cell culture</w:t>
      </w:r>
      <w:r w:rsidRPr="00D636AC">
        <w:rPr>
          <w:rFonts w:asciiTheme="majorBidi" w:hAnsiTheme="majorBidi" w:cstheme="majorBidi"/>
        </w:rPr>
        <w:t>: Adult human bone marrow Stro-</w:t>
      </w:r>
      <w:r w:rsidRPr="00D636AC">
        <w:rPr>
          <w:rFonts w:asciiTheme="majorBidi" w:hAnsiTheme="majorBidi" w:cstheme="majorBidi"/>
          <w:vertAlign w:val="superscript"/>
        </w:rPr>
        <w:t>1+</w:t>
      </w:r>
      <w:r w:rsidRPr="00D636AC">
        <w:rPr>
          <w:rFonts w:asciiTheme="majorBidi" w:hAnsiTheme="majorBidi" w:cstheme="majorBidi"/>
        </w:rPr>
        <w:t xml:space="preserve"> MSCs were isolated with consent from patients at the Southampton General Hospital, UK. Cells were cultured in Dulbecco’s modified essential medium (DMEM) supplemented with 10% (v/v) FBS, 1% (v/v) MEM NEAA (non-essential amino acid), 1% (v/v) 200 mM L-glutamine, 2% (v/v) antibiotics (6.74 U/ml penicillin- streptomycin, 0.2 </w:t>
      </w:r>
      <w:proofErr w:type="spellStart"/>
      <w:r w:rsidRPr="00D636AC">
        <w:rPr>
          <w:rFonts w:asciiTheme="majorBidi" w:hAnsiTheme="majorBidi" w:cstheme="majorBidi"/>
        </w:rPr>
        <w:t>μg</w:t>
      </w:r>
      <w:proofErr w:type="spellEnd"/>
      <w:r w:rsidRPr="00D636AC">
        <w:rPr>
          <w:rFonts w:asciiTheme="majorBidi" w:hAnsiTheme="majorBidi" w:cstheme="majorBidi"/>
        </w:rPr>
        <w:t xml:space="preserve">/mL Fungizone) and 1% sodium pyruvate (11 mg/ml) at 37 </w:t>
      </w:r>
      <w:proofErr w:type="spellStart"/>
      <w:r w:rsidRPr="00D636AC">
        <w:rPr>
          <w:rFonts w:asciiTheme="majorBidi" w:hAnsiTheme="majorBidi" w:cstheme="majorBidi"/>
        </w:rPr>
        <w:t>oC</w:t>
      </w:r>
      <w:proofErr w:type="spellEnd"/>
      <w:r w:rsidRPr="00D636AC">
        <w:rPr>
          <w:rFonts w:asciiTheme="majorBidi" w:hAnsiTheme="majorBidi" w:cstheme="majorBidi"/>
        </w:rPr>
        <w:t xml:space="preserve"> in 5 % CO</w:t>
      </w:r>
      <w:r w:rsidRPr="00D636AC">
        <w:rPr>
          <w:rFonts w:asciiTheme="majorBidi" w:hAnsiTheme="majorBidi" w:cstheme="majorBidi"/>
          <w:vertAlign w:val="subscript"/>
        </w:rPr>
        <w:t>2</w:t>
      </w:r>
      <w:r w:rsidRPr="00D636AC">
        <w:rPr>
          <w:rFonts w:asciiTheme="majorBidi" w:hAnsiTheme="majorBidi" w:cstheme="majorBidi"/>
        </w:rPr>
        <w:t xml:space="preserve">. Seeding on coated </w:t>
      </w:r>
      <w:proofErr w:type="spellStart"/>
      <w:r w:rsidRPr="00D636AC">
        <w:rPr>
          <w:rFonts w:asciiTheme="majorBidi" w:hAnsiTheme="majorBidi" w:cstheme="majorBidi"/>
        </w:rPr>
        <w:t>Ti</w:t>
      </w:r>
      <w:proofErr w:type="spellEnd"/>
      <w:r w:rsidRPr="00D636AC">
        <w:rPr>
          <w:rFonts w:asciiTheme="majorBidi" w:hAnsiTheme="majorBidi" w:cstheme="majorBidi"/>
        </w:rPr>
        <w:t xml:space="preserve"> was done in serum-free medium in 24-well plates at 10</w:t>
      </w:r>
      <w:r w:rsidRPr="00D636AC">
        <w:rPr>
          <w:rFonts w:asciiTheme="majorBidi" w:hAnsiTheme="majorBidi" w:cstheme="majorBidi"/>
          <w:vertAlign w:val="superscript"/>
        </w:rPr>
        <w:t>4</w:t>
      </w:r>
      <w:r w:rsidRPr="00D636AC">
        <w:rPr>
          <w:rFonts w:asciiTheme="majorBidi" w:hAnsiTheme="majorBidi" w:cstheme="majorBidi"/>
        </w:rPr>
        <w:t xml:space="preserve"> cells/disc. After 2 h, the media were changed to low serum growth medium (1% FBS).</w:t>
      </w:r>
    </w:p>
    <w:p w14:paraId="130F84A5" w14:textId="3144079E" w:rsidR="00F004DC" w:rsidRPr="00D636AC" w:rsidRDefault="00F004DC"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qPCR:</w:t>
      </w:r>
      <w:r w:rsidRPr="00D636AC">
        <w:rPr>
          <w:rFonts w:asciiTheme="majorBidi" w:hAnsiTheme="majorBidi" w:cstheme="majorBidi"/>
        </w:rPr>
        <w:t xml:space="preserve"> Total RNA was extracted at day 21 and 28-time point culture using a Qiagen RNeasy Micro kit and protocol. To standardise for quantitative analysis, equal amounts of RNA from each sample were used for cDNA synthesis using the Qiagen </w:t>
      </w:r>
      <w:proofErr w:type="spellStart"/>
      <w:r w:rsidRPr="00D636AC">
        <w:rPr>
          <w:rFonts w:asciiTheme="majorBidi" w:hAnsiTheme="majorBidi" w:cstheme="majorBidi"/>
        </w:rPr>
        <w:t>QuantiTect</w:t>
      </w:r>
      <w:proofErr w:type="spellEnd"/>
      <w:r w:rsidRPr="00D636AC">
        <w:rPr>
          <w:rFonts w:asciiTheme="majorBidi" w:hAnsiTheme="majorBidi" w:cstheme="majorBidi"/>
        </w:rPr>
        <w:t xml:space="preserve"> RT-PCR kit and protocol. </w:t>
      </w:r>
      <w:proofErr w:type="spellStart"/>
      <w:r w:rsidRPr="00D636AC">
        <w:rPr>
          <w:rFonts w:asciiTheme="majorBidi" w:hAnsiTheme="majorBidi" w:cstheme="majorBidi"/>
        </w:rPr>
        <w:t>qRT</w:t>
      </w:r>
      <w:proofErr w:type="spellEnd"/>
      <w:r w:rsidRPr="00D636AC">
        <w:rPr>
          <w:rFonts w:asciiTheme="majorBidi" w:hAnsiTheme="majorBidi" w:cstheme="majorBidi"/>
        </w:rPr>
        <w:t xml:space="preserve">-PCR was carried out using the Qiagen </w:t>
      </w:r>
      <w:proofErr w:type="spellStart"/>
      <w:r w:rsidRPr="00D636AC">
        <w:rPr>
          <w:rFonts w:asciiTheme="majorBidi" w:hAnsiTheme="majorBidi" w:cstheme="majorBidi"/>
        </w:rPr>
        <w:t>Quantifast</w:t>
      </w:r>
      <w:proofErr w:type="spellEnd"/>
      <w:r w:rsidRPr="00D636AC">
        <w:rPr>
          <w:rFonts w:asciiTheme="majorBidi" w:hAnsiTheme="majorBidi" w:cstheme="majorBidi"/>
        </w:rPr>
        <w:t xml:space="preserve"> SYBR Green kit and the reactions run in the 7500 Real Time PCR cycler from Applied Biosystems. Three biological and two technical replicates from each replicate were tested. Expression of test </w:t>
      </w:r>
      <w:proofErr w:type="spellStart"/>
      <w:r w:rsidRPr="00D636AC">
        <w:rPr>
          <w:rFonts w:asciiTheme="majorBidi" w:hAnsiTheme="majorBidi" w:cstheme="majorBidi"/>
        </w:rPr>
        <w:t>osteopontin</w:t>
      </w:r>
      <w:proofErr w:type="spellEnd"/>
      <w:r w:rsidRPr="00D636AC">
        <w:rPr>
          <w:rFonts w:asciiTheme="majorBidi" w:hAnsiTheme="majorBidi" w:cstheme="majorBidi"/>
        </w:rPr>
        <w:t xml:space="preserve"> (OPN), </w:t>
      </w:r>
      <w:proofErr w:type="spellStart"/>
      <w:r w:rsidRPr="00D636AC">
        <w:rPr>
          <w:rFonts w:asciiTheme="majorBidi" w:hAnsiTheme="majorBidi" w:cstheme="majorBidi"/>
        </w:rPr>
        <w:t>osteonectin</w:t>
      </w:r>
      <w:proofErr w:type="spellEnd"/>
      <w:r w:rsidRPr="00D636AC">
        <w:rPr>
          <w:rFonts w:asciiTheme="majorBidi" w:hAnsiTheme="majorBidi" w:cstheme="majorBidi"/>
        </w:rPr>
        <w:t xml:space="preserve"> (O</w:t>
      </w:r>
      <w:r w:rsidR="00A75D49" w:rsidRPr="00D636AC">
        <w:rPr>
          <w:rFonts w:asciiTheme="majorBidi" w:hAnsiTheme="majorBidi" w:cstheme="majorBidi"/>
        </w:rPr>
        <w:t>S</w:t>
      </w:r>
      <w:r w:rsidRPr="00D636AC">
        <w:rPr>
          <w:rFonts w:asciiTheme="majorBidi" w:hAnsiTheme="majorBidi" w:cstheme="majorBidi"/>
        </w:rPr>
        <w:t>N) was normalised against housekeeping gene glyceraldehyde 3-phosphate dehydrogenase</w:t>
      </w:r>
      <w:r w:rsidRPr="00D636AC">
        <w:rPr>
          <w:rFonts w:asciiTheme="majorBidi" w:hAnsiTheme="majorBidi" w:cstheme="majorBidi"/>
          <w:b/>
        </w:rPr>
        <w:t xml:space="preserve"> </w:t>
      </w:r>
      <w:r w:rsidRPr="00D636AC">
        <w:rPr>
          <w:rFonts w:asciiTheme="majorBidi" w:hAnsiTheme="majorBidi" w:cstheme="majorBidi"/>
        </w:rPr>
        <w:t>(GAPDH) (list of primers is shown in Table 1).</w:t>
      </w:r>
      <w:r w:rsidR="00B321C1" w:rsidRPr="00D636AC">
        <w:rPr>
          <w:rFonts w:asciiTheme="majorBidi" w:hAnsiTheme="majorBidi" w:cstheme="majorBidi"/>
        </w:rPr>
        <w:t xml:space="preserve"> QRT-PCR products were quantified using the 2</w:t>
      </w:r>
      <w:r w:rsidR="00B321C1" w:rsidRPr="00D636AC">
        <w:rPr>
          <w:rFonts w:asciiTheme="majorBidi" w:eastAsia="Cambria" w:hAnsiTheme="majorBidi" w:cstheme="majorBidi"/>
          <w:vertAlign w:val="superscript"/>
        </w:rPr>
        <w:t>-</w:t>
      </w:r>
      <w:r w:rsidR="00B321C1" w:rsidRPr="00D636AC">
        <w:rPr>
          <w:rFonts w:asciiTheme="majorBidi" w:eastAsia="Cambria" w:hAnsiTheme="majorBidi" w:cstheme="majorBidi"/>
          <w:vertAlign w:val="superscript"/>
        </w:rPr>
        <w:sym w:font="Symbol" w:char="F044"/>
      </w:r>
      <w:r w:rsidR="00B321C1" w:rsidRPr="00D636AC">
        <w:rPr>
          <w:rFonts w:asciiTheme="majorBidi" w:eastAsia="Cambria" w:hAnsiTheme="majorBidi" w:cstheme="majorBidi"/>
          <w:vertAlign w:val="superscript"/>
        </w:rPr>
        <w:sym w:font="Symbol" w:char="F044"/>
      </w:r>
      <w:r w:rsidR="00B321C1" w:rsidRPr="00D636AC">
        <w:rPr>
          <w:rFonts w:asciiTheme="majorBidi" w:eastAsia="Cambria" w:hAnsiTheme="majorBidi" w:cstheme="majorBidi"/>
          <w:vertAlign w:val="superscript"/>
        </w:rPr>
        <w:t>Ct</w:t>
      </w:r>
      <w:r w:rsidR="00B321C1" w:rsidRPr="00D636AC">
        <w:rPr>
          <w:rFonts w:asciiTheme="majorBidi" w:eastAsia="Cambria" w:hAnsiTheme="majorBidi" w:cstheme="majorBidi"/>
        </w:rPr>
        <w:t xml:space="preserve"> </w:t>
      </w:r>
      <w:r w:rsidR="00B321C1" w:rsidRPr="00D636AC">
        <w:rPr>
          <w:rFonts w:asciiTheme="majorBidi" w:hAnsiTheme="majorBidi" w:cstheme="majorBidi"/>
        </w:rPr>
        <w:t>method.</w:t>
      </w:r>
    </w:p>
    <w:p w14:paraId="55606FCD" w14:textId="77777777" w:rsidR="00F004DC" w:rsidRPr="00D636AC" w:rsidRDefault="00F004DC" w:rsidP="00D636AC">
      <w:pPr>
        <w:keepNext/>
        <w:spacing w:before="120" w:line="360" w:lineRule="auto"/>
        <w:rPr>
          <w:rFonts w:asciiTheme="majorBidi" w:hAnsiTheme="majorBidi" w:cstheme="majorBidi"/>
          <w:b/>
          <w:sz w:val="24"/>
          <w:szCs w:val="24"/>
        </w:rPr>
      </w:pPr>
      <w:bookmarkStart w:id="1" w:name="_Toc40436276"/>
      <w:r w:rsidRPr="00D636AC">
        <w:rPr>
          <w:rFonts w:asciiTheme="majorBidi" w:hAnsiTheme="majorBidi" w:cstheme="majorBidi"/>
          <w:b/>
          <w:sz w:val="24"/>
          <w:szCs w:val="24"/>
        </w:rPr>
        <w:t xml:space="preserve">Table 1: Primers used for </w:t>
      </w:r>
      <w:proofErr w:type="spellStart"/>
      <w:r w:rsidRPr="00D636AC">
        <w:rPr>
          <w:rFonts w:asciiTheme="majorBidi" w:hAnsiTheme="majorBidi" w:cstheme="majorBidi"/>
          <w:b/>
          <w:sz w:val="24"/>
          <w:szCs w:val="24"/>
        </w:rPr>
        <w:t>qRT</w:t>
      </w:r>
      <w:proofErr w:type="spellEnd"/>
      <w:r w:rsidRPr="00D636AC">
        <w:rPr>
          <w:rFonts w:asciiTheme="majorBidi" w:hAnsiTheme="majorBidi" w:cstheme="majorBidi"/>
          <w:b/>
          <w:sz w:val="24"/>
          <w:szCs w:val="24"/>
        </w:rPr>
        <w:t>-PC</w:t>
      </w:r>
      <w:bookmarkEnd w:id="1"/>
      <w:r w:rsidRPr="00D636AC">
        <w:rPr>
          <w:rFonts w:asciiTheme="majorBidi" w:hAnsiTheme="majorBidi" w:cstheme="majorBidi"/>
          <w:b/>
          <w:sz w:val="24"/>
          <w:szCs w:val="24"/>
        </w:rPr>
        <w:t>R</w:t>
      </w:r>
    </w:p>
    <w:tbl>
      <w:tblPr>
        <w:tblStyle w:val="PlainTable11"/>
        <w:tblW w:w="0" w:type="auto"/>
        <w:tblLook w:val="04A0" w:firstRow="1" w:lastRow="0" w:firstColumn="1" w:lastColumn="0" w:noHBand="0" w:noVBand="1"/>
      </w:tblPr>
      <w:tblGrid>
        <w:gridCol w:w="3256"/>
        <w:gridCol w:w="5386"/>
      </w:tblGrid>
      <w:tr w:rsidR="00D636AC" w:rsidRPr="00D636AC" w14:paraId="1597E1B3" w14:textId="77777777" w:rsidTr="007E3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ADFEB6" w14:textId="77777777" w:rsidR="00F004DC" w:rsidRPr="00D636AC" w:rsidRDefault="00F004DC" w:rsidP="00D636AC">
            <w:pPr>
              <w:spacing w:line="360" w:lineRule="auto"/>
              <w:jc w:val="center"/>
              <w:rPr>
                <w:rFonts w:asciiTheme="majorBidi" w:hAnsiTheme="majorBidi" w:cstheme="majorBidi"/>
                <w:bCs w:val="0"/>
                <w:sz w:val="24"/>
                <w:szCs w:val="24"/>
              </w:rPr>
            </w:pPr>
            <w:r w:rsidRPr="00D636AC">
              <w:rPr>
                <w:rFonts w:asciiTheme="majorBidi" w:hAnsiTheme="majorBidi" w:cstheme="majorBidi"/>
                <w:bCs w:val="0"/>
                <w:sz w:val="24"/>
                <w:szCs w:val="24"/>
              </w:rPr>
              <w:t>Gene Name</w:t>
            </w:r>
          </w:p>
        </w:tc>
        <w:tc>
          <w:tcPr>
            <w:tcW w:w="5386" w:type="dxa"/>
          </w:tcPr>
          <w:p w14:paraId="011173E6" w14:textId="77777777" w:rsidR="00F004DC" w:rsidRPr="00D636AC" w:rsidRDefault="00F004DC" w:rsidP="00D636A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24"/>
                <w:szCs w:val="24"/>
              </w:rPr>
            </w:pPr>
            <w:r w:rsidRPr="00D636AC">
              <w:rPr>
                <w:rFonts w:asciiTheme="majorBidi" w:hAnsiTheme="majorBidi" w:cstheme="majorBidi"/>
                <w:bCs w:val="0"/>
                <w:sz w:val="24"/>
                <w:szCs w:val="24"/>
              </w:rPr>
              <w:t>Primer sequence</w:t>
            </w:r>
          </w:p>
        </w:tc>
      </w:tr>
      <w:tr w:rsidR="00D636AC" w:rsidRPr="00D636AC" w14:paraId="630786CF" w14:textId="77777777" w:rsidTr="007E3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BA4AC5" w14:textId="77777777" w:rsidR="00F004DC" w:rsidRPr="00D636AC" w:rsidRDefault="00F004DC" w:rsidP="00D636AC">
            <w:pPr>
              <w:spacing w:line="360" w:lineRule="auto"/>
              <w:rPr>
                <w:rFonts w:asciiTheme="majorBidi" w:hAnsiTheme="majorBidi" w:cstheme="majorBidi"/>
                <w:b w:val="0"/>
                <w:bCs w:val="0"/>
                <w:sz w:val="24"/>
                <w:szCs w:val="24"/>
              </w:rPr>
            </w:pPr>
            <w:r w:rsidRPr="00D636AC">
              <w:rPr>
                <w:rFonts w:asciiTheme="majorBidi" w:hAnsiTheme="majorBidi" w:cstheme="majorBidi"/>
                <w:b w:val="0"/>
                <w:bCs w:val="0"/>
                <w:sz w:val="24"/>
                <w:szCs w:val="24"/>
              </w:rPr>
              <w:t>GAPDH</w:t>
            </w:r>
          </w:p>
        </w:tc>
        <w:tc>
          <w:tcPr>
            <w:tcW w:w="5386" w:type="dxa"/>
          </w:tcPr>
          <w:p w14:paraId="4BD35C7E" w14:textId="77777777" w:rsidR="00F004DC" w:rsidRPr="00D636AC" w:rsidRDefault="00F004DC" w:rsidP="00D636AC">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 xml:space="preserve">Forward: TCAAGGCTGAGAACGGGAA </w:t>
            </w:r>
          </w:p>
          <w:p w14:paraId="069025D1" w14:textId="77777777" w:rsidR="00F004DC" w:rsidRPr="00D636AC" w:rsidRDefault="00F004DC" w:rsidP="00D636AC">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 xml:space="preserve">Reverse: TGGGTGGCAGTGATGGCA </w:t>
            </w:r>
          </w:p>
        </w:tc>
      </w:tr>
      <w:tr w:rsidR="00D636AC" w:rsidRPr="00D636AC" w14:paraId="16B572E0" w14:textId="77777777" w:rsidTr="007E33B8">
        <w:tc>
          <w:tcPr>
            <w:cnfStyle w:val="001000000000" w:firstRow="0" w:lastRow="0" w:firstColumn="1" w:lastColumn="0" w:oddVBand="0" w:evenVBand="0" w:oddHBand="0" w:evenHBand="0" w:firstRowFirstColumn="0" w:firstRowLastColumn="0" w:lastRowFirstColumn="0" w:lastRowLastColumn="0"/>
            <w:tcW w:w="3256" w:type="dxa"/>
          </w:tcPr>
          <w:p w14:paraId="32CBA2C5" w14:textId="77777777" w:rsidR="00F004DC" w:rsidRPr="00D636AC" w:rsidRDefault="00F004DC" w:rsidP="00D636AC">
            <w:pPr>
              <w:spacing w:line="360" w:lineRule="auto"/>
              <w:rPr>
                <w:rFonts w:asciiTheme="majorBidi" w:hAnsiTheme="majorBidi" w:cstheme="majorBidi"/>
                <w:b w:val="0"/>
                <w:bCs w:val="0"/>
                <w:sz w:val="24"/>
                <w:szCs w:val="24"/>
              </w:rPr>
            </w:pPr>
            <w:proofErr w:type="spellStart"/>
            <w:r w:rsidRPr="00D636AC">
              <w:rPr>
                <w:rFonts w:asciiTheme="majorBidi" w:hAnsiTheme="majorBidi" w:cstheme="majorBidi"/>
                <w:b w:val="0"/>
                <w:bCs w:val="0"/>
                <w:sz w:val="24"/>
                <w:szCs w:val="24"/>
              </w:rPr>
              <w:t>Osteonectin</w:t>
            </w:r>
            <w:proofErr w:type="spellEnd"/>
          </w:p>
          <w:p w14:paraId="493024CD" w14:textId="19E4F8EA" w:rsidR="00F004DC" w:rsidRPr="00D636AC" w:rsidRDefault="00F004DC" w:rsidP="00D636AC">
            <w:pPr>
              <w:spacing w:line="360" w:lineRule="auto"/>
              <w:rPr>
                <w:rFonts w:asciiTheme="majorBidi" w:hAnsiTheme="majorBidi" w:cstheme="majorBidi"/>
                <w:b w:val="0"/>
                <w:bCs w:val="0"/>
                <w:sz w:val="24"/>
                <w:szCs w:val="24"/>
              </w:rPr>
            </w:pPr>
            <w:r w:rsidRPr="00D636AC">
              <w:rPr>
                <w:rFonts w:asciiTheme="majorBidi" w:hAnsiTheme="majorBidi" w:cstheme="majorBidi"/>
                <w:b w:val="0"/>
                <w:bCs w:val="0"/>
                <w:sz w:val="24"/>
                <w:szCs w:val="24"/>
              </w:rPr>
              <w:t>(O</w:t>
            </w:r>
            <w:r w:rsidR="00A75D49" w:rsidRPr="00D636AC">
              <w:rPr>
                <w:rFonts w:asciiTheme="majorBidi" w:hAnsiTheme="majorBidi" w:cstheme="majorBidi"/>
                <w:b w:val="0"/>
                <w:bCs w:val="0"/>
                <w:sz w:val="24"/>
                <w:szCs w:val="24"/>
              </w:rPr>
              <w:t>S</w:t>
            </w:r>
            <w:r w:rsidRPr="00D636AC">
              <w:rPr>
                <w:rFonts w:asciiTheme="majorBidi" w:hAnsiTheme="majorBidi" w:cstheme="majorBidi"/>
                <w:b w:val="0"/>
                <w:bCs w:val="0"/>
                <w:sz w:val="24"/>
                <w:szCs w:val="24"/>
              </w:rPr>
              <w:t>N)</w:t>
            </w:r>
          </w:p>
        </w:tc>
        <w:tc>
          <w:tcPr>
            <w:tcW w:w="5386" w:type="dxa"/>
          </w:tcPr>
          <w:p w14:paraId="5700A004" w14:textId="77777777" w:rsidR="00F004DC" w:rsidRPr="00D636AC" w:rsidRDefault="00F004DC" w:rsidP="00D636AC">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Forward: AGAATGAGAAGCGCCTGGAG</w:t>
            </w:r>
          </w:p>
          <w:p w14:paraId="4E07A799" w14:textId="77777777" w:rsidR="00F004DC" w:rsidRPr="00D636AC" w:rsidRDefault="00F004DC" w:rsidP="00D636AC">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Reverse: CTGCCAGTGTACAGGGAAGA</w:t>
            </w:r>
          </w:p>
        </w:tc>
      </w:tr>
      <w:tr w:rsidR="00D636AC" w:rsidRPr="00D636AC" w14:paraId="072BC482" w14:textId="77777777" w:rsidTr="007E3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04AA21" w14:textId="77777777" w:rsidR="00F004DC" w:rsidRPr="00D636AC" w:rsidRDefault="00F004DC" w:rsidP="00D636AC">
            <w:pPr>
              <w:spacing w:line="360" w:lineRule="auto"/>
              <w:rPr>
                <w:rFonts w:asciiTheme="majorBidi" w:hAnsiTheme="majorBidi" w:cstheme="majorBidi"/>
                <w:b w:val="0"/>
                <w:bCs w:val="0"/>
                <w:sz w:val="24"/>
                <w:szCs w:val="24"/>
              </w:rPr>
            </w:pPr>
            <w:proofErr w:type="spellStart"/>
            <w:r w:rsidRPr="00D636AC">
              <w:rPr>
                <w:rFonts w:asciiTheme="majorBidi" w:hAnsiTheme="majorBidi" w:cstheme="majorBidi"/>
                <w:b w:val="0"/>
                <w:bCs w:val="0"/>
                <w:sz w:val="24"/>
                <w:szCs w:val="24"/>
              </w:rPr>
              <w:t>Osteopontin</w:t>
            </w:r>
            <w:proofErr w:type="spellEnd"/>
          </w:p>
          <w:p w14:paraId="2FFF9B04" w14:textId="77777777" w:rsidR="00F004DC" w:rsidRPr="00D636AC" w:rsidRDefault="00F004DC" w:rsidP="00D636AC">
            <w:pPr>
              <w:spacing w:line="360" w:lineRule="auto"/>
              <w:rPr>
                <w:rFonts w:asciiTheme="majorBidi" w:hAnsiTheme="majorBidi" w:cstheme="majorBidi"/>
                <w:b w:val="0"/>
                <w:bCs w:val="0"/>
                <w:sz w:val="24"/>
                <w:szCs w:val="24"/>
              </w:rPr>
            </w:pPr>
            <w:r w:rsidRPr="00D636AC">
              <w:rPr>
                <w:rFonts w:asciiTheme="majorBidi" w:hAnsiTheme="majorBidi" w:cstheme="majorBidi"/>
                <w:b w:val="0"/>
                <w:bCs w:val="0"/>
                <w:sz w:val="24"/>
                <w:szCs w:val="24"/>
              </w:rPr>
              <w:t>(OPN)</w:t>
            </w:r>
          </w:p>
        </w:tc>
        <w:tc>
          <w:tcPr>
            <w:tcW w:w="5386" w:type="dxa"/>
          </w:tcPr>
          <w:p w14:paraId="7BEAB8EC" w14:textId="77777777" w:rsidR="00F004DC" w:rsidRPr="00D636AC" w:rsidRDefault="00F004DC" w:rsidP="00D636AC">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 xml:space="preserve">Forward: ACAGCCGTGGGAAGGACAGT </w:t>
            </w:r>
          </w:p>
          <w:p w14:paraId="76C53915" w14:textId="77777777" w:rsidR="00F004DC" w:rsidRPr="00D636AC" w:rsidRDefault="00F004DC" w:rsidP="00D636AC">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36AC">
              <w:rPr>
                <w:rFonts w:asciiTheme="majorBidi" w:hAnsiTheme="majorBidi" w:cstheme="majorBidi"/>
                <w:sz w:val="24"/>
                <w:szCs w:val="24"/>
              </w:rPr>
              <w:t>Reverse: GACTGCTTGTGGCTGTGGGT</w:t>
            </w:r>
          </w:p>
        </w:tc>
      </w:tr>
    </w:tbl>
    <w:p w14:paraId="5C773757" w14:textId="39A7529C" w:rsidR="00F004DC" w:rsidRDefault="00F004DC" w:rsidP="00D636AC">
      <w:pPr>
        <w:spacing w:line="360" w:lineRule="auto"/>
        <w:jc w:val="both"/>
        <w:rPr>
          <w:rFonts w:asciiTheme="majorBidi" w:hAnsiTheme="majorBidi" w:cstheme="majorBidi"/>
          <w:b/>
          <w:sz w:val="24"/>
          <w:szCs w:val="24"/>
          <w:lang w:eastAsia="zh-CN"/>
        </w:rPr>
      </w:pPr>
    </w:p>
    <w:p w14:paraId="63190BDA" w14:textId="16A76768" w:rsidR="00A50774" w:rsidRPr="00A50774" w:rsidRDefault="00A50774" w:rsidP="00D636AC">
      <w:pPr>
        <w:spacing w:line="360" w:lineRule="auto"/>
        <w:jc w:val="both"/>
        <w:rPr>
          <w:rFonts w:asciiTheme="majorBidi" w:hAnsiTheme="majorBidi" w:cstheme="majorBidi"/>
          <w:b/>
          <w:sz w:val="24"/>
          <w:szCs w:val="24"/>
          <w:lang w:eastAsia="zh-CN"/>
        </w:rPr>
      </w:pPr>
    </w:p>
    <w:p w14:paraId="576B5A42" w14:textId="002DA5C2" w:rsidR="00A75D49" w:rsidRDefault="00F004DC" w:rsidP="006C10A6">
      <w:pPr>
        <w:spacing w:line="360" w:lineRule="auto"/>
        <w:jc w:val="both"/>
        <w:rPr>
          <w:rFonts w:asciiTheme="majorBidi" w:hAnsiTheme="majorBidi" w:cstheme="majorBidi"/>
          <w:b/>
          <w:sz w:val="24"/>
          <w:szCs w:val="24"/>
          <w:lang w:eastAsia="zh-CN"/>
        </w:rPr>
      </w:pPr>
      <w:r w:rsidRPr="00D636AC">
        <w:rPr>
          <w:rFonts w:asciiTheme="majorBidi" w:hAnsiTheme="majorBidi" w:cstheme="majorBidi"/>
          <w:b/>
          <w:sz w:val="24"/>
          <w:szCs w:val="24"/>
          <w:lang w:eastAsia="zh-CN"/>
        </w:rPr>
        <w:lastRenderedPageBreak/>
        <w:t xml:space="preserve">Figure </w:t>
      </w:r>
      <w:r w:rsidR="00A50774">
        <w:rPr>
          <w:rFonts w:asciiTheme="majorBidi" w:hAnsiTheme="majorBidi" w:cstheme="majorBidi"/>
          <w:b/>
          <w:sz w:val="24"/>
          <w:szCs w:val="24"/>
          <w:lang w:eastAsia="zh-CN"/>
        </w:rPr>
        <w:t>3</w:t>
      </w:r>
      <w:r w:rsidRPr="00D636AC">
        <w:rPr>
          <w:rFonts w:asciiTheme="majorBidi" w:hAnsiTheme="majorBidi" w:cstheme="majorBidi"/>
          <w:b/>
          <w:sz w:val="24"/>
          <w:szCs w:val="24"/>
          <w:lang w:eastAsia="zh-CN"/>
        </w:rPr>
        <w:t>-a</w:t>
      </w:r>
      <w:r w:rsidR="00A50774">
        <w:rPr>
          <w:rFonts w:asciiTheme="majorBidi" w:hAnsiTheme="majorBidi" w:cstheme="majorBidi"/>
          <w:b/>
          <w:sz w:val="24"/>
          <w:szCs w:val="24"/>
          <w:lang w:eastAsia="zh-CN"/>
        </w:rPr>
        <w:t>,</w:t>
      </w:r>
      <w:r w:rsidRPr="00D636AC">
        <w:rPr>
          <w:rFonts w:asciiTheme="majorBidi" w:hAnsiTheme="majorBidi" w:cstheme="majorBidi"/>
          <w:b/>
          <w:sz w:val="24"/>
          <w:szCs w:val="24"/>
          <w:lang w:eastAsia="zh-CN"/>
        </w:rPr>
        <w:t>b</w:t>
      </w:r>
      <w:r w:rsidR="00A50774">
        <w:rPr>
          <w:rFonts w:asciiTheme="majorBidi" w:hAnsiTheme="majorBidi" w:cstheme="majorBidi"/>
          <w:b/>
          <w:sz w:val="24"/>
          <w:szCs w:val="24"/>
          <w:lang w:eastAsia="zh-CN"/>
        </w:rPr>
        <w:t>,f</w:t>
      </w:r>
      <w:r w:rsidRPr="00D636AC">
        <w:rPr>
          <w:rFonts w:asciiTheme="majorBidi" w:hAnsiTheme="majorBidi" w:cstheme="majorBidi"/>
          <w:b/>
          <w:sz w:val="24"/>
          <w:szCs w:val="24"/>
          <w:lang w:eastAsia="zh-CN"/>
        </w:rPr>
        <w:t xml:space="preserve">: </w:t>
      </w:r>
      <w:r w:rsidR="00B321C1" w:rsidRPr="00D636AC">
        <w:rPr>
          <w:rFonts w:asciiTheme="majorBidi" w:hAnsiTheme="majorBidi" w:cstheme="majorBidi"/>
          <w:sz w:val="24"/>
          <w:szCs w:val="24"/>
          <w:lang w:eastAsia="zh-CN"/>
        </w:rPr>
        <w:t xml:space="preserve">Rapid qPCR screen at 21 and 28-days of culture for </w:t>
      </w:r>
      <w:proofErr w:type="spellStart"/>
      <w:r w:rsidR="00B321C1" w:rsidRPr="00D636AC">
        <w:rPr>
          <w:rFonts w:asciiTheme="majorBidi" w:hAnsiTheme="majorBidi" w:cstheme="majorBidi"/>
          <w:sz w:val="24"/>
          <w:szCs w:val="24"/>
          <w:lang w:eastAsia="zh-CN"/>
        </w:rPr>
        <w:t>osteopontin</w:t>
      </w:r>
      <w:proofErr w:type="spellEnd"/>
      <w:r w:rsidR="00B321C1" w:rsidRPr="00D636AC">
        <w:rPr>
          <w:rFonts w:asciiTheme="majorBidi" w:hAnsiTheme="majorBidi" w:cstheme="majorBidi"/>
          <w:sz w:val="24"/>
          <w:szCs w:val="24"/>
          <w:lang w:eastAsia="zh-CN"/>
        </w:rPr>
        <w:t xml:space="preserve"> (OPN) and </w:t>
      </w:r>
      <w:proofErr w:type="spellStart"/>
      <w:r w:rsidR="00B321C1" w:rsidRPr="00D636AC">
        <w:rPr>
          <w:rFonts w:asciiTheme="majorBidi" w:hAnsiTheme="majorBidi" w:cstheme="majorBidi"/>
          <w:sz w:val="24"/>
          <w:szCs w:val="24"/>
          <w:lang w:eastAsia="zh-CN"/>
        </w:rPr>
        <w:t>osteonectin</w:t>
      </w:r>
      <w:proofErr w:type="spellEnd"/>
      <w:r w:rsidR="00B321C1" w:rsidRPr="00D636AC">
        <w:rPr>
          <w:rFonts w:asciiTheme="majorBidi" w:hAnsiTheme="majorBidi" w:cstheme="majorBidi"/>
          <w:sz w:val="24"/>
          <w:szCs w:val="24"/>
          <w:lang w:eastAsia="zh-CN"/>
        </w:rPr>
        <w:t xml:space="preserve"> (OSN) transcripts allowing selection of the 2 hr nanowires with 90 sec </w:t>
      </w:r>
      <w:proofErr w:type="spellStart"/>
      <w:r w:rsidR="00B321C1" w:rsidRPr="00D636AC">
        <w:rPr>
          <w:rFonts w:asciiTheme="majorBidi" w:hAnsiTheme="majorBidi" w:cstheme="majorBidi"/>
          <w:sz w:val="24"/>
          <w:szCs w:val="24"/>
          <w:lang w:eastAsia="zh-CN"/>
        </w:rPr>
        <w:t>pPEA</w:t>
      </w:r>
      <w:proofErr w:type="spellEnd"/>
      <w:r w:rsidR="00B321C1" w:rsidRPr="00D636AC">
        <w:rPr>
          <w:rFonts w:asciiTheme="majorBidi" w:hAnsiTheme="majorBidi" w:cstheme="majorBidi"/>
          <w:sz w:val="24"/>
          <w:szCs w:val="24"/>
          <w:lang w:eastAsia="zh-CN"/>
        </w:rPr>
        <w:t xml:space="preserve"> coating as optimal for osteogenesis on high aspect ratio nanofeatures.</w:t>
      </w:r>
    </w:p>
    <w:p w14:paraId="723CA4CF" w14:textId="77777777" w:rsidR="006C10A6" w:rsidRPr="006C10A6" w:rsidRDefault="006C10A6" w:rsidP="006C10A6">
      <w:pPr>
        <w:spacing w:line="360" w:lineRule="auto"/>
        <w:jc w:val="both"/>
        <w:rPr>
          <w:rFonts w:asciiTheme="majorBidi" w:hAnsiTheme="majorBidi" w:cstheme="majorBidi"/>
          <w:b/>
          <w:sz w:val="24"/>
          <w:szCs w:val="24"/>
          <w:lang w:eastAsia="zh-CN"/>
        </w:rPr>
      </w:pPr>
    </w:p>
    <w:p w14:paraId="64FD9C26" w14:textId="61ECB188" w:rsidR="00B321C1" w:rsidRPr="00D636AC" w:rsidRDefault="00B321C1"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Data folders: Alizarin Red, fig</w:t>
      </w:r>
      <w:r w:rsidR="00A50774">
        <w:rPr>
          <w:rFonts w:asciiTheme="majorBidi" w:hAnsiTheme="majorBidi" w:cstheme="majorBidi"/>
          <w:b/>
          <w:lang w:eastAsia="zh-CN"/>
        </w:rPr>
        <w:t>3</w:t>
      </w:r>
      <w:r w:rsidRPr="00D636AC">
        <w:rPr>
          <w:rFonts w:asciiTheme="majorBidi" w:hAnsiTheme="majorBidi" w:cstheme="majorBidi"/>
          <w:b/>
          <w:lang w:eastAsia="zh-CN"/>
        </w:rPr>
        <w:t>-c</w:t>
      </w:r>
    </w:p>
    <w:p w14:paraId="7DD70071" w14:textId="77777777" w:rsidR="00B321C1" w:rsidRPr="00D636AC" w:rsidRDefault="00B321C1" w:rsidP="00D636AC">
      <w:pPr>
        <w:pStyle w:val="NormalWeb"/>
        <w:spacing w:line="360" w:lineRule="auto"/>
        <w:jc w:val="both"/>
        <w:rPr>
          <w:rFonts w:asciiTheme="majorBidi" w:hAnsiTheme="majorBidi" w:cstheme="majorBidi"/>
        </w:rPr>
      </w:pPr>
      <w:r w:rsidRPr="00D636AC">
        <w:rPr>
          <w:rFonts w:asciiTheme="majorBidi" w:hAnsiTheme="majorBidi" w:cstheme="majorBidi"/>
          <w:b/>
        </w:rPr>
        <w:t xml:space="preserve">Alizarin Red: </w:t>
      </w:r>
      <w:r w:rsidRPr="00D636AC">
        <w:rPr>
          <w:rFonts w:asciiTheme="majorBidi" w:hAnsiTheme="majorBidi" w:cstheme="majorBidi"/>
        </w:rPr>
        <w:t>Mineral production was studied using AR and CB staining. After 35 days in culture, cells cultured on flat and nanowires surfaces were washed with 1x PBS and fixed with 4% v/v formaldehyde 1x PBS for 15 min at 37 °C. 1 ml/well Alizarin Red Stain S solution (40 mM) was added and incubated at RT for 30 minutes. Excess dye was removed, and cells were carefully washed 5x with deionized water. Calcium deposits were visualised using a light microscope (Leica, Germany).</w:t>
      </w:r>
    </w:p>
    <w:p w14:paraId="40B3CF61" w14:textId="172676C6" w:rsidR="00B321C1" w:rsidRPr="00D636AC" w:rsidRDefault="00B321C1"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A50774">
        <w:rPr>
          <w:rFonts w:asciiTheme="majorBidi" w:hAnsiTheme="majorBidi" w:cstheme="majorBidi"/>
          <w:b/>
        </w:rPr>
        <w:t>3</w:t>
      </w:r>
      <w:r w:rsidRPr="00D636AC">
        <w:rPr>
          <w:rFonts w:asciiTheme="majorBidi" w:hAnsiTheme="majorBidi" w:cstheme="majorBidi"/>
          <w:b/>
        </w:rPr>
        <w:t>-c:</w:t>
      </w:r>
      <w:r w:rsidRPr="00D636AC">
        <w:rPr>
          <w:rFonts w:asciiTheme="majorBidi" w:hAnsiTheme="majorBidi" w:cstheme="majorBidi"/>
        </w:rPr>
        <w:t xml:space="preserve"> Alizarin red histology for mineralisation after 35 day MSC culture; arrows indicate nodule formation.</w:t>
      </w:r>
    </w:p>
    <w:p w14:paraId="0AA66ED3" w14:textId="2DF63D57" w:rsidR="00B321C1" w:rsidRPr="00D636AC" w:rsidRDefault="00B321C1" w:rsidP="00D636AC">
      <w:pPr>
        <w:pStyle w:val="NormalWeb"/>
        <w:spacing w:line="360" w:lineRule="auto"/>
        <w:contextualSpacing/>
        <w:jc w:val="both"/>
        <w:rPr>
          <w:rFonts w:asciiTheme="majorBidi" w:hAnsiTheme="majorBidi" w:cstheme="majorBidi"/>
          <w:b/>
        </w:rPr>
      </w:pPr>
    </w:p>
    <w:p w14:paraId="2F915381" w14:textId="573B6746" w:rsidR="00B321C1" w:rsidRPr="00D636AC" w:rsidRDefault="00B321C1"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 xml:space="preserve">Data folders: </w:t>
      </w:r>
      <w:proofErr w:type="spellStart"/>
      <w:r w:rsidRPr="00D636AC">
        <w:rPr>
          <w:rFonts w:asciiTheme="majorBidi" w:hAnsiTheme="majorBidi" w:cstheme="majorBidi"/>
          <w:b/>
          <w:lang w:eastAsia="zh-CN"/>
        </w:rPr>
        <w:t>Calcein</w:t>
      </w:r>
      <w:proofErr w:type="spellEnd"/>
      <w:r w:rsidRPr="00D636AC">
        <w:rPr>
          <w:rFonts w:asciiTheme="majorBidi" w:hAnsiTheme="majorBidi" w:cstheme="majorBidi"/>
          <w:b/>
          <w:lang w:eastAsia="zh-CN"/>
        </w:rPr>
        <w:t xml:space="preserve"> blue</w:t>
      </w:r>
      <w:r w:rsidR="00831B00" w:rsidRPr="00D636AC">
        <w:rPr>
          <w:rFonts w:asciiTheme="majorBidi" w:hAnsiTheme="majorBidi" w:cstheme="majorBidi"/>
          <w:b/>
          <w:lang w:eastAsia="zh-CN"/>
        </w:rPr>
        <w:t xml:space="preserve"> (CB)</w:t>
      </w:r>
      <w:r w:rsidRPr="00D636AC">
        <w:rPr>
          <w:rFonts w:asciiTheme="majorBidi" w:hAnsiTheme="majorBidi" w:cstheme="majorBidi"/>
          <w:b/>
          <w:lang w:eastAsia="zh-CN"/>
        </w:rPr>
        <w:t>, fig</w:t>
      </w:r>
      <w:r w:rsidR="00A50774">
        <w:rPr>
          <w:rFonts w:asciiTheme="majorBidi" w:hAnsiTheme="majorBidi" w:cstheme="majorBidi"/>
          <w:b/>
          <w:lang w:eastAsia="zh-CN"/>
        </w:rPr>
        <w:t>3</w:t>
      </w:r>
      <w:r w:rsidRPr="00D636AC">
        <w:rPr>
          <w:rFonts w:asciiTheme="majorBidi" w:hAnsiTheme="majorBidi" w:cstheme="majorBidi"/>
          <w:b/>
          <w:lang w:eastAsia="zh-CN"/>
        </w:rPr>
        <w:t>-d</w:t>
      </w:r>
      <w:r w:rsidR="00A75D49" w:rsidRPr="00D636AC">
        <w:rPr>
          <w:rFonts w:asciiTheme="majorBidi" w:hAnsiTheme="majorBidi" w:cstheme="majorBidi"/>
          <w:b/>
          <w:lang w:eastAsia="zh-CN"/>
        </w:rPr>
        <w:t>&amp;</w:t>
      </w:r>
      <w:r w:rsidRPr="00D636AC">
        <w:rPr>
          <w:rFonts w:asciiTheme="majorBidi" w:hAnsiTheme="majorBidi" w:cstheme="majorBidi"/>
          <w:b/>
          <w:lang w:eastAsia="zh-CN"/>
        </w:rPr>
        <w:t>e</w:t>
      </w:r>
    </w:p>
    <w:p w14:paraId="0E1D7D87" w14:textId="25A2ED44" w:rsidR="00B321C1" w:rsidRPr="00D636AC" w:rsidRDefault="00B321C1"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rPr>
        <w:t xml:space="preserve">For </w:t>
      </w:r>
      <w:proofErr w:type="spellStart"/>
      <w:r w:rsidRPr="00D636AC">
        <w:rPr>
          <w:rFonts w:asciiTheme="majorBidi" w:hAnsiTheme="majorBidi" w:cstheme="majorBidi"/>
        </w:rPr>
        <w:t>Calcein</w:t>
      </w:r>
      <w:proofErr w:type="spellEnd"/>
      <w:r w:rsidRPr="00D636AC">
        <w:rPr>
          <w:rFonts w:asciiTheme="majorBidi" w:hAnsiTheme="majorBidi" w:cstheme="majorBidi"/>
        </w:rPr>
        <w:t xml:space="preserve"> blue staining, 10 mg of CB were dissolved in 0.25 ml of KOH (1 M) and 9.75 ml of distilled water were added to make up a 3.1 X 10</w:t>
      </w:r>
      <w:r w:rsidRPr="00D636AC">
        <w:rPr>
          <w:rFonts w:asciiTheme="majorBidi" w:hAnsiTheme="majorBidi" w:cstheme="majorBidi"/>
          <w:vertAlign w:val="superscript"/>
        </w:rPr>
        <w:t>-3</w:t>
      </w:r>
      <w:r w:rsidRPr="00D636AC">
        <w:rPr>
          <w:rFonts w:asciiTheme="majorBidi" w:hAnsiTheme="majorBidi" w:cstheme="majorBidi"/>
        </w:rPr>
        <w:t xml:space="preserve"> M CB solution. Five microliters of the CB solution were added to the culture medium 1 h before cell fixation. The cells were then washed with PBS 3x and fixed with 4% formaldehyde in PBS for 10 min. After fixation, the specimens were washed with PBS three times and dried. Stained cells were imaged using a Zeiss immunofluorescence microscope. Images were processed using </w:t>
      </w:r>
      <w:proofErr w:type="spellStart"/>
      <w:r w:rsidRPr="00D636AC">
        <w:rPr>
          <w:rFonts w:asciiTheme="majorBidi" w:hAnsiTheme="majorBidi" w:cstheme="majorBidi"/>
        </w:rPr>
        <w:t>imageJ</w:t>
      </w:r>
      <w:proofErr w:type="spellEnd"/>
      <w:r w:rsidRPr="00D636AC">
        <w:rPr>
          <w:rFonts w:asciiTheme="majorBidi" w:hAnsiTheme="majorBidi" w:cstheme="majorBidi"/>
        </w:rPr>
        <w:t xml:space="preserve"> imaging software, and images that were to be compared against one another were taken with the same exposure.</w:t>
      </w:r>
    </w:p>
    <w:p w14:paraId="2879509D" w14:textId="1A83EA3E" w:rsidR="00C36167" w:rsidRPr="00D636AC" w:rsidRDefault="00B321C1"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A50774">
        <w:rPr>
          <w:rFonts w:asciiTheme="majorBidi" w:hAnsiTheme="majorBidi" w:cstheme="majorBidi"/>
          <w:b/>
        </w:rPr>
        <w:t>3</w:t>
      </w:r>
      <w:r w:rsidRPr="00D636AC">
        <w:rPr>
          <w:rFonts w:asciiTheme="majorBidi" w:hAnsiTheme="majorBidi" w:cstheme="majorBidi"/>
          <w:b/>
        </w:rPr>
        <w:t xml:space="preserve">-d&amp;e: d: </w:t>
      </w:r>
      <w:r w:rsidRPr="00D636AC">
        <w:rPr>
          <w:rFonts w:asciiTheme="majorBidi" w:hAnsiTheme="majorBidi" w:cstheme="majorBidi"/>
        </w:rPr>
        <w:t xml:space="preserve">Quantification of </w:t>
      </w:r>
      <w:proofErr w:type="spellStart"/>
      <w:r w:rsidRPr="00D636AC">
        <w:rPr>
          <w:rFonts w:asciiTheme="majorBidi" w:hAnsiTheme="majorBidi" w:cstheme="majorBidi"/>
        </w:rPr>
        <w:t>calcein</w:t>
      </w:r>
      <w:proofErr w:type="spellEnd"/>
      <w:r w:rsidRPr="00D636AC">
        <w:rPr>
          <w:rFonts w:asciiTheme="majorBidi" w:hAnsiTheme="majorBidi" w:cstheme="majorBidi"/>
        </w:rPr>
        <w:t xml:space="preserve"> blue stain histology for number of bone nodules after 35 day MSC culture. </w:t>
      </w:r>
      <w:r w:rsidRPr="00D636AC">
        <w:rPr>
          <w:rFonts w:asciiTheme="majorBidi" w:hAnsiTheme="majorBidi" w:cstheme="majorBidi"/>
          <w:b/>
        </w:rPr>
        <w:t xml:space="preserve">e: </w:t>
      </w:r>
      <w:r w:rsidRPr="00D636AC">
        <w:rPr>
          <w:rFonts w:asciiTheme="majorBidi" w:hAnsiTheme="majorBidi" w:cstheme="majorBidi"/>
        </w:rPr>
        <w:t xml:space="preserve">Typical images for </w:t>
      </w:r>
      <w:proofErr w:type="spellStart"/>
      <w:r w:rsidRPr="00D636AC">
        <w:rPr>
          <w:rFonts w:asciiTheme="majorBidi" w:hAnsiTheme="majorBidi" w:cstheme="majorBidi"/>
        </w:rPr>
        <w:t>calcein</w:t>
      </w:r>
      <w:proofErr w:type="spellEnd"/>
      <w:r w:rsidRPr="00D636AC">
        <w:rPr>
          <w:rFonts w:asciiTheme="majorBidi" w:hAnsiTheme="majorBidi" w:cstheme="majorBidi"/>
        </w:rPr>
        <w:t xml:space="preserve"> blue fluorescent histology showing less background that Alizarin red stain.</w:t>
      </w:r>
    </w:p>
    <w:p w14:paraId="0CF2178E" w14:textId="3E7E5649" w:rsidR="00B321C1" w:rsidRPr="00D636AC" w:rsidRDefault="00B321C1" w:rsidP="00D636AC">
      <w:pPr>
        <w:pStyle w:val="NormalWeb"/>
        <w:spacing w:line="360" w:lineRule="auto"/>
        <w:contextualSpacing/>
        <w:jc w:val="both"/>
        <w:rPr>
          <w:rFonts w:asciiTheme="majorBidi" w:hAnsiTheme="majorBidi" w:cstheme="majorBidi"/>
        </w:rPr>
      </w:pPr>
    </w:p>
    <w:p w14:paraId="0FC1151A" w14:textId="08D0E0A2" w:rsidR="00B321C1" w:rsidRPr="00D636AC" w:rsidRDefault="00B321C1"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Data folders:</w:t>
      </w:r>
      <w:r w:rsidR="00E041B5" w:rsidRPr="00D636AC">
        <w:rPr>
          <w:rFonts w:asciiTheme="majorBidi" w:hAnsiTheme="majorBidi" w:cstheme="majorBidi"/>
          <w:b/>
          <w:lang w:eastAsia="zh-CN"/>
        </w:rPr>
        <w:t xml:space="preserve"> AFM and proteins adsorption, fig</w:t>
      </w:r>
      <w:r w:rsidR="00A75D49" w:rsidRPr="00D636AC">
        <w:rPr>
          <w:rFonts w:asciiTheme="majorBidi" w:hAnsiTheme="majorBidi" w:cstheme="majorBidi"/>
          <w:b/>
          <w:lang w:eastAsia="zh-CN"/>
        </w:rPr>
        <w:t xml:space="preserve"> </w:t>
      </w:r>
      <w:r w:rsidR="00A50774">
        <w:rPr>
          <w:rFonts w:asciiTheme="majorBidi" w:hAnsiTheme="majorBidi" w:cstheme="majorBidi"/>
          <w:b/>
          <w:lang w:eastAsia="zh-CN"/>
        </w:rPr>
        <w:t>4</w:t>
      </w:r>
      <w:r w:rsidR="00E041B5" w:rsidRPr="00D636AC">
        <w:rPr>
          <w:rFonts w:asciiTheme="majorBidi" w:hAnsiTheme="majorBidi" w:cstheme="majorBidi"/>
          <w:b/>
          <w:lang w:eastAsia="zh-CN"/>
        </w:rPr>
        <w:t xml:space="preserve"> a-</w:t>
      </w:r>
      <w:r w:rsidR="00A75D49" w:rsidRPr="00D636AC">
        <w:rPr>
          <w:rFonts w:asciiTheme="majorBidi" w:hAnsiTheme="majorBidi" w:cstheme="majorBidi"/>
          <w:b/>
          <w:lang w:eastAsia="zh-CN"/>
        </w:rPr>
        <w:t>f</w:t>
      </w:r>
    </w:p>
    <w:p w14:paraId="0F9033EB" w14:textId="57BA464C" w:rsidR="00A75D49" w:rsidRPr="00D636AC" w:rsidRDefault="00A75D49" w:rsidP="00D636AC">
      <w:pPr>
        <w:spacing w:line="360" w:lineRule="auto"/>
        <w:jc w:val="both"/>
        <w:rPr>
          <w:rFonts w:asciiTheme="majorBidi" w:hAnsiTheme="majorBidi" w:cstheme="majorBidi"/>
          <w:iCs/>
          <w:sz w:val="24"/>
          <w:szCs w:val="24"/>
        </w:rPr>
      </w:pPr>
      <w:r w:rsidRPr="00D636AC">
        <w:rPr>
          <w:rFonts w:asciiTheme="majorBidi" w:hAnsiTheme="majorBidi" w:cstheme="majorBidi"/>
          <w:iCs/>
          <w:sz w:val="24"/>
          <w:szCs w:val="24"/>
        </w:rPr>
        <w:t xml:space="preserve">Evaluation of FN and BMP2 interactions with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FN nanonetworks were assessed by AFM. (a) FN nanonetwork on a glass coverslip with spin-coated PEA, showing a diffuse network. (b) left: FN nanonetwork on a glass coverslip with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at 90 kJ showing dense FN </w:t>
      </w:r>
      <w:r w:rsidRPr="00D636AC">
        <w:rPr>
          <w:rFonts w:asciiTheme="majorBidi" w:hAnsiTheme="majorBidi" w:cstheme="majorBidi"/>
          <w:iCs/>
          <w:sz w:val="24"/>
          <w:szCs w:val="24"/>
        </w:rPr>
        <w:lastRenderedPageBreak/>
        <w:t>networks. Right: The availability of the RGD (HFN7.1)</w:t>
      </w:r>
      <w:r w:rsidRPr="00D636AC">
        <w:rPr>
          <w:rFonts w:asciiTheme="majorBidi" w:hAnsiTheme="majorBidi" w:cstheme="majorBidi"/>
          <w:sz w:val="24"/>
          <w:szCs w:val="24"/>
        </w:rPr>
        <w:t xml:space="preserve"> </w:t>
      </w:r>
      <w:r w:rsidRPr="00D636AC">
        <w:rPr>
          <w:rFonts w:asciiTheme="majorBidi" w:hAnsiTheme="majorBidi" w:cstheme="majorBidi"/>
          <w:iCs/>
          <w:sz w:val="24"/>
          <w:szCs w:val="24"/>
        </w:rPr>
        <w:t xml:space="preserve">and heparin binding sites (P5F3) on FN, as assessed by ELISA. These sites’ availability increased with a concomitant increase in BMP2 absorption when FN was present as a network on 90 kJ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(c) Coating thickness measurements showing thin films are achieved at 9 kJ and 18 kJ (90 sec and 3 min coatings respectively). (d) AFMs of uncoated and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(90 sec and 3 min coatings) flat </w:t>
      </w:r>
      <w:proofErr w:type="spellStart"/>
      <w:r w:rsidRPr="00D636AC">
        <w:rPr>
          <w:rFonts w:asciiTheme="majorBidi" w:hAnsiTheme="majorBidi" w:cstheme="majorBidi"/>
          <w:iCs/>
          <w:sz w:val="24"/>
          <w:szCs w:val="24"/>
        </w:rPr>
        <w:t>Ti</w:t>
      </w:r>
      <w:proofErr w:type="spellEnd"/>
      <w:r w:rsidRPr="00D636AC">
        <w:rPr>
          <w:rFonts w:asciiTheme="majorBidi" w:hAnsiTheme="majorBidi" w:cstheme="majorBidi"/>
          <w:iCs/>
          <w:sz w:val="24"/>
          <w:szCs w:val="24"/>
        </w:rPr>
        <w:t xml:space="preserve"> samples showing very low surface roughness with nanoscale undulating topographies. AFMs of FN coated flat </w:t>
      </w:r>
      <w:proofErr w:type="spellStart"/>
      <w:r w:rsidRPr="00D636AC">
        <w:rPr>
          <w:rFonts w:asciiTheme="majorBidi" w:hAnsiTheme="majorBidi" w:cstheme="majorBidi"/>
          <w:iCs/>
          <w:sz w:val="24"/>
          <w:szCs w:val="24"/>
        </w:rPr>
        <w:t>Ti</w:t>
      </w:r>
      <w:proofErr w:type="spellEnd"/>
      <w:r w:rsidRPr="00D636AC">
        <w:rPr>
          <w:rFonts w:asciiTheme="majorBidi" w:hAnsiTheme="majorBidi" w:cstheme="majorBidi"/>
          <w:iCs/>
          <w:sz w:val="24"/>
          <w:szCs w:val="24"/>
        </w:rPr>
        <w:t xml:space="preserve"> samples with and without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coatings (90 sec and 3 min). Addition of FN provides a change in surface appearance, potentially with more network morphology observable on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coated samples, especially the 3 min coating. (f) ELISA was used to observe FN and BMP2 interactions with flat and 2 hr nanowire </w:t>
      </w:r>
      <w:proofErr w:type="spellStart"/>
      <w:r w:rsidRPr="00D636AC">
        <w:rPr>
          <w:rFonts w:asciiTheme="majorBidi" w:hAnsiTheme="majorBidi" w:cstheme="majorBidi"/>
          <w:iCs/>
          <w:sz w:val="24"/>
          <w:szCs w:val="24"/>
        </w:rPr>
        <w:t>Ti</w:t>
      </w:r>
      <w:proofErr w:type="spellEnd"/>
      <w:r w:rsidRPr="00D636AC">
        <w:rPr>
          <w:rFonts w:asciiTheme="majorBidi" w:hAnsiTheme="majorBidi" w:cstheme="majorBidi"/>
          <w:iCs/>
          <w:sz w:val="24"/>
          <w:szCs w:val="24"/>
        </w:rPr>
        <w:t xml:space="preserve"> surfaces, with and without 90 sec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FN/BMP2 coating. From flat to 2 hrs (with or without coating), an increase in FN absorption was seen, perhaps reflecting increased surface area. Importantly, BMP2 absorption was seen to increase when samples (flat or nanowires) when </w:t>
      </w:r>
      <w:proofErr w:type="spellStart"/>
      <w:r w:rsidRPr="00D636AC">
        <w:rPr>
          <w:rFonts w:asciiTheme="majorBidi" w:hAnsiTheme="majorBidi" w:cstheme="majorBidi"/>
          <w:iCs/>
          <w:sz w:val="24"/>
          <w:szCs w:val="24"/>
        </w:rPr>
        <w:t>pPEA</w:t>
      </w:r>
      <w:proofErr w:type="spellEnd"/>
      <w:r w:rsidRPr="00D636AC">
        <w:rPr>
          <w:rFonts w:asciiTheme="majorBidi" w:hAnsiTheme="majorBidi" w:cstheme="majorBidi"/>
          <w:iCs/>
          <w:sz w:val="24"/>
          <w:szCs w:val="24"/>
        </w:rPr>
        <w:t xml:space="preserve"> coatings were used prior to FN coating. </w:t>
      </w:r>
    </w:p>
    <w:p w14:paraId="7C2AC2A1" w14:textId="77777777" w:rsidR="00E041B5" w:rsidRPr="00D636AC" w:rsidRDefault="00E041B5"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A. FN adsorption</w:t>
      </w:r>
    </w:p>
    <w:p w14:paraId="0F79875D" w14:textId="77777777" w:rsidR="00E041B5" w:rsidRPr="00D636AC" w:rsidRDefault="00E041B5" w:rsidP="00D636AC">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lang w:eastAsia="zh-CN"/>
        </w:rPr>
        <w:t>The protein adsorption properties of the FN coating were analysed by performing a bicinchoninic acid (BCA) protein assay by following the manufacture instruction (</w:t>
      </w:r>
      <w:proofErr w:type="spellStart"/>
      <w:r w:rsidRPr="00D636AC">
        <w:rPr>
          <w:rFonts w:asciiTheme="majorBidi" w:hAnsiTheme="majorBidi" w:cstheme="majorBidi"/>
          <w:lang w:eastAsia="zh-CN"/>
        </w:rPr>
        <w:t>Thermofisher</w:t>
      </w:r>
      <w:proofErr w:type="spellEnd"/>
      <w:r w:rsidRPr="00D636AC">
        <w:rPr>
          <w:rFonts w:asciiTheme="majorBidi" w:hAnsiTheme="majorBidi" w:cstheme="majorBidi"/>
          <w:lang w:eastAsia="zh-CN"/>
        </w:rPr>
        <w:t>, UK).</w:t>
      </w:r>
    </w:p>
    <w:p w14:paraId="7F9ED6EC" w14:textId="77777777" w:rsidR="00E041B5" w:rsidRPr="00D636AC" w:rsidRDefault="00E041B5"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 xml:space="preserve">B. BMP2 adsorption </w:t>
      </w:r>
    </w:p>
    <w:p w14:paraId="1316AF72" w14:textId="5B33FAAC" w:rsidR="00E041B5" w:rsidRPr="00D636AC" w:rsidRDefault="00E041B5" w:rsidP="00D636AC">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lang w:eastAsia="zh-CN"/>
        </w:rPr>
        <w:t xml:space="preserve">The amounts of BMP2 bound to </w:t>
      </w:r>
      <w:proofErr w:type="spellStart"/>
      <w:r w:rsidRPr="00D636AC">
        <w:rPr>
          <w:rFonts w:asciiTheme="majorBidi" w:hAnsiTheme="majorBidi" w:cstheme="majorBidi"/>
          <w:lang w:eastAsia="zh-CN"/>
        </w:rPr>
        <w:t>Ti</w:t>
      </w:r>
      <w:proofErr w:type="spellEnd"/>
      <w:r w:rsidRPr="00D636AC">
        <w:rPr>
          <w:rFonts w:asciiTheme="majorBidi" w:hAnsiTheme="majorBidi" w:cstheme="majorBidi"/>
          <w:lang w:eastAsia="zh-CN"/>
        </w:rPr>
        <w:t xml:space="preserve">/PEA, and </w:t>
      </w:r>
      <w:proofErr w:type="spellStart"/>
      <w:r w:rsidRPr="00D636AC">
        <w:rPr>
          <w:rFonts w:asciiTheme="majorBidi" w:hAnsiTheme="majorBidi" w:cstheme="majorBidi"/>
          <w:lang w:eastAsia="zh-CN"/>
        </w:rPr>
        <w:t>Ti</w:t>
      </w:r>
      <w:proofErr w:type="spellEnd"/>
      <w:r w:rsidRPr="00D636AC">
        <w:rPr>
          <w:rFonts w:asciiTheme="majorBidi" w:hAnsiTheme="majorBidi" w:cstheme="majorBidi"/>
          <w:lang w:eastAsia="zh-CN"/>
        </w:rPr>
        <w:t xml:space="preserve">/PEA/FN surfaces were quantified by indirect enzyme-linked immunosorbent assay (ELISA) using </w:t>
      </w:r>
      <w:proofErr w:type="spellStart"/>
      <w:r w:rsidRPr="00D636AC">
        <w:rPr>
          <w:rFonts w:asciiTheme="majorBidi" w:hAnsiTheme="majorBidi" w:cstheme="majorBidi"/>
          <w:lang w:eastAsia="zh-CN"/>
        </w:rPr>
        <w:t>DuoSet</w:t>
      </w:r>
      <w:proofErr w:type="spellEnd"/>
      <w:r w:rsidRPr="00D636AC">
        <w:rPr>
          <w:rFonts w:asciiTheme="majorBidi" w:hAnsiTheme="majorBidi" w:cstheme="majorBidi"/>
          <w:lang w:eastAsia="zh-CN"/>
        </w:rPr>
        <w:t xml:space="preserve"> human BMP2 kit (R&amp;D Systems, UK). After the samples were coated with BMP2, the coating solutions and the first wash solutions were collected for analysis. The amount of BMP2 bound to the samples was calculated as a difference between the total BMP2 used for coating and the amount of BMP2 in the collected solution. </w:t>
      </w:r>
    </w:p>
    <w:p w14:paraId="4BAC1347" w14:textId="77777777" w:rsidR="00E041B5" w:rsidRPr="00D636AC" w:rsidRDefault="00E041B5"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 xml:space="preserve">C. Integrin- and heparin-domain viability </w:t>
      </w:r>
    </w:p>
    <w:p w14:paraId="5BEC5005" w14:textId="51BE0864" w:rsidR="00E041B5" w:rsidRPr="00D636AC" w:rsidRDefault="00E041B5" w:rsidP="00A50774">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lang w:eastAsia="zh-CN"/>
        </w:rPr>
        <w:t xml:space="preserve">P5F3 and HFN7.1 antibodies were used to assess the availability of heparin binding domain and cell binding domain respectively. Primary antibody incubation P5F3 (Santa </w:t>
      </w:r>
      <w:proofErr w:type="spellStart"/>
      <w:r w:rsidRPr="00D636AC">
        <w:rPr>
          <w:rFonts w:asciiTheme="majorBidi" w:hAnsiTheme="majorBidi" w:cstheme="majorBidi"/>
          <w:lang w:eastAsia="zh-CN"/>
        </w:rPr>
        <w:t>Cruze</w:t>
      </w:r>
      <w:proofErr w:type="spellEnd"/>
      <w:r w:rsidRPr="00D636AC">
        <w:rPr>
          <w:rFonts w:asciiTheme="majorBidi" w:hAnsiTheme="majorBidi" w:cstheme="majorBidi"/>
          <w:lang w:eastAsia="zh-CN"/>
        </w:rPr>
        <w:t>, Germany) and FN7.1 (</w:t>
      </w:r>
      <w:proofErr w:type="spellStart"/>
      <w:r w:rsidRPr="00D636AC">
        <w:rPr>
          <w:rFonts w:asciiTheme="majorBidi" w:hAnsiTheme="majorBidi" w:cstheme="majorBidi"/>
          <w:lang w:eastAsia="zh-CN"/>
        </w:rPr>
        <w:t>Dr.</w:t>
      </w:r>
      <w:proofErr w:type="spellEnd"/>
      <w:r w:rsidRPr="00D636AC">
        <w:rPr>
          <w:rFonts w:asciiTheme="majorBidi" w:hAnsiTheme="majorBidi" w:cstheme="majorBidi"/>
          <w:lang w:eastAsia="zh-CN"/>
        </w:rPr>
        <w:t xml:space="preserve"> David R. Soll, c/o DSHB, The University of Iowa) were incubated for 1 hr at RT. Washing with 0.5% Tween 20/PBS and subsequent incubation with secondary antibody for 1 hr. Followed by adding equal amount of substrate reagent: colour reagent A (H</w:t>
      </w:r>
      <w:r w:rsidRPr="00D636AC">
        <w:rPr>
          <w:rFonts w:asciiTheme="majorBidi" w:hAnsiTheme="majorBidi" w:cstheme="majorBidi"/>
          <w:vertAlign w:val="subscript"/>
          <w:lang w:eastAsia="zh-CN"/>
        </w:rPr>
        <w:t>2</w:t>
      </w:r>
      <w:r w:rsidRPr="00D636AC">
        <w:rPr>
          <w:rFonts w:asciiTheme="majorBidi" w:hAnsiTheme="majorBidi" w:cstheme="majorBidi"/>
          <w:lang w:eastAsia="zh-CN"/>
        </w:rPr>
        <w:t>O</w:t>
      </w:r>
      <w:r w:rsidRPr="00D636AC">
        <w:rPr>
          <w:rFonts w:asciiTheme="majorBidi" w:hAnsiTheme="majorBidi" w:cstheme="majorBidi"/>
          <w:vertAlign w:val="subscript"/>
          <w:lang w:eastAsia="zh-CN"/>
        </w:rPr>
        <w:t>2</w:t>
      </w:r>
      <w:r w:rsidRPr="00D636AC">
        <w:rPr>
          <w:rFonts w:asciiTheme="majorBidi" w:hAnsiTheme="majorBidi" w:cstheme="majorBidi"/>
          <w:lang w:eastAsia="zh-CN"/>
        </w:rPr>
        <w:t>) and colour reagent B (Tetramethylbenzidine) for 20 min in the dark at RT. Finally, the surfaces were incubated with stop solution (H</w:t>
      </w:r>
      <w:r w:rsidRPr="00D636AC">
        <w:rPr>
          <w:rFonts w:asciiTheme="majorBidi" w:hAnsiTheme="majorBidi" w:cstheme="majorBidi"/>
          <w:vertAlign w:val="subscript"/>
          <w:lang w:eastAsia="zh-CN"/>
        </w:rPr>
        <w:t>2</w:t>
      </w:r>
      <w:r w:rsidRPr="00D636AC">
        <w:rPr>
          <w:rFonts w:asciiTheme="majorBidi" w:hAnsiTheme="majorBidi" w:cstheme="majorBidi"/>
          <w:lang w:eastAsia="zh-CN"/>
        </w:rPr>
        <w:t>SO</w:t>
      </w:r>
      <w:r w:rsidRPr="00D636AC">
        <w:rPr>
          <w:rFonts w:asciiTheme="majorBidi" w:hAnsiTheme="majorBidi" w:cstheme="majorBidi"/>
          <w:vertAlign w:val="subscript"/>
          <w:lang w:eastAsia="zh-CN"/>
        </w:rPr>
        <w:t>4</w:t>
      </w:r>
      <w:r w:rsidRPr="00D636AC">
        <w:rPr>
          <w:rFonts w:asciiTheme="majorBidi" w:hAnsiTheme="majorBidi" w:cstheme="majorBidi"/>
          <w:lang w:eastAsia="zh-CN"/>
        </w:rPr>
        <w:t>) and read with fluorescence at 450 nm.</w:t>
      </w:r>
    </w:p>
    <w:p w14:paraId="4B5B362E" w14:textId="01BEBE95" w:rsidR="00E041B5" w:rsidRPr="00D636AC" w:rsidRDefault="00E041B5"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lastRenderedPageBreak/>
        <w:t xml:space="preserve">Data folders: </w:t>
      </w:r>
      <w:r w:rsidRPr="00D636AC">
        <w:rPr>
          <w:rFonts w:asciiTheme="majorBidi" w:hAnsiTheme="majorBidi" w:cstheme="majorBidi"/>
          <w:b/>
          <w:i/>
          <w:lang w:eastAsia="zh-CN"/>
        </w:rPr>
        <w:t>P. aeruginosa</w:t>
      </w:r>
      <w:r w:rsidRPr="00D636AC">
        <w:rPr>
          <w:rFonts w:asciiTheme="majorBidi" w:hAnsiTheme="majorBidi" w:cstheme="majorBidi"/>
          <w:b/>
          <w:lang w:eastAsia="zh-CN"/>
        </w:rPr>
        <w:t xml:space="preserve"> response to nanowire topography and </w:t>
      </w:r>
      <w:proofErr w:type="spellStart"/>
      <w:r w:rsidRPr="00D636AC">
        <w:rPr>
          <w:rFonts w:asciiTheme="majorBidi" w:hAnsiTheme="majorBidi" w:cstheme="majorBidi"/>
          <w:b/>
          <w:lang w:eastAsia="zh-CN"/>
        </w:rPr>
        <w:t>pPEA</w:t>
      </w:r>
      <w:proofErr w:type="spellEnd"/>
      <w:r w:rsidRPr="00D636AC">
        <w:rPr>
          <w:rFonts w:asciiTheme="majorBidi" w:hAnsiTheme="majorBidi" w:cstheme="majorBidi"/>
          <w:b/>
          <w:lang w:eastAsia="zh-CN"/>
        </w:rPr>
        <w:t xml:space="preserve"> coating</w:t>
      </w:r>
    </w:p>
    <w:p w14:paraId="5BCD4DD7" w14:textId="2027A395" w:rsidR="00E041B5" w:rsidRPr="00D636AC" w:rsidRDefault="00E041B5" w:rsidP="00D636AC">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b/>
          <w:lang w:eastAsia="zh-CN"/>
        </w:rPr>
        <w:t xml:space="preserve">Bacteria culture: </w:t>
      </w:r>
      <w:r w:rsidRPr="00D636AC">
        <w:rPr>
          <w:rFonts w:asciiTheme="majorBidi" w:hAnsiTheme="majorBidi" w:cstheme="majorBidi"/>
          <w:i/>
          <w:lang w:eastAsia="zh-CN"/>
        </w:rPr>
        <w:t>P. aeruginosa</w:t>
      </w:r>
      <w:r w:rsidRPr="00D636AC">
        <w:rPr>
          <w:rFonts w:asciiTheme="majorBidi" w:hAnsiTheme="majorBidi" w:cstheme="majorBidi"/>
          <w:lang w:eastAsia="zh-CN"/>
        </w:rPr>
        <w:t xml:space="preserve"> ATCC 27853 was grown aerobically overnight in 10 mL DMEM in a 37 °C shaker incubator set at 220 rpm. The bacterial suspension was then diluted in DMEM to OD</w:t>
      </w:r>
      <w:r w:rsidRPr="00D636AC">
        <w:rPr>
          <w:rFonts w:asciiTheme="majorBidi" w:hAnsiTheme="majorBidi" w:cstheme="majorBidi"/>
          <w:vertAlign w:val="subscript"/>
          <w:lang w:eastAsia="zh-CN"/>
        </w:rPr>
        <w:t>600</w:t>
      </w:r>
      <w:r w:rsidRPr="00D636AC">
        <w:rPr>
          <w:rFonts w:asciiTheme="majorBidi" w:hAnsiTheme="majorBidi" w:cstheme="majorBidi"/>
          <w:lang w:eastAsia="zh-CN"/>
        </w:rPr>
        <w:t xml:space="preserve">= 0.1 and further incubated until mid-exponential phase was reached. At this time, bacterial cells were harvested by centrifugation (7 min, 5000 </w:t>
      </w:r>
      <w:proofErr w:type="spellStart"/>
      <w:r w:rsidRPr="00D636AC">
        <w:rPr>
          <w:rFonts w:asciiTheme="majorBidi" w:hAnsiTheme="majorBidi" w:cstheme="majorBidi"/>
          <w:lang w:eastAsia="zh-CN"/>
        </w:rPr>
        <w:t>xg</w:t>
      </w:r>
      <w:proofErr w:type="spellEnd"/>
      <w:r w:rsidRPr="00D636AC">
        <w:rPr>
          <w:rFonts w:asciiTheme="majorBidi" w:hAnsiTheme="majorBidi" w:cstheme="majorBidi"/>
          <w:lang w:eastAsia="zh-CN"/>
        </w:rPr>
        <w:t>), washed twice in PBS buffer, and suspended in DMEM OD600= 0.3 (approx. 10</w:t>
      </w:r>
      <w:r w:rsidRPr="00D636AC">
        <w:rPr>
          <w:rFonts w:asciiTheme="majorBidi" w:hAnsiTheme="majorBidi" w:cstheme="majorBidi"/>
          <w:vertAlign w:val="superscript"/>
          <w:lang w:eastAsia="zh-CN"/>
        </w:rPr>
        <w:t>8</w:t>
      </w:r>
      <w:r w:rsidRPr="00D636AC">
        <w:rPr>
          <w:rFonts w:asciiTheme="majorBidi" w:hAnsiTheme="majorBidi" w:cstheme="majorBidi"/>
          <w:lang w:eastAsia="zh-CN"/>
        </w:rPr>
        <w:t xml:space="preserve"> CFU/mL). 10</w:t>
      </w:r>
      <w:r w:rsidRPr="00D636AC">
        <w:rPr>
          <w:rFonts w:asciiTheme="majorBidi" w:hAnsiTheme="majorBidi" w:cstheme="majorBidi"/>
          <w:vertAlign w:val="superscript"/>
          <w:lang w:eastAsia="zh-CN"/>
        </w:rPr>
        <w:t>4</w:t>
      </w:r>
      <w:r w:rsidRPr="00D636AC">
        <w:rPr>
          <w:rFonts w:asciiTheme="majorBidi" w:hAnsiTheme="majorBidi" w:cstheme="majorBidi"/>
          <w:lang w:eastAsia="zh-CN"/>
        </w:rPr>
        <w:t xml:space="preserve"> CFU/ml were used for culture.</w:t>
      </w:r>
    </w:p>
    <w:p w14:paraId="2BBB5A08" w14:textId="77777777" w:rsidR="00A75D49" w:rsidRPr="00D636AC" w:rsidRDefault="00A75D49" w:rsidP="00D636AC">
      <w:pPr>
        <w:pStyle w:val="NormalWeb"/>
        <w:spacing w:line="360" w:lineRule="auto"/>
        <w:contextualSpacing/>
        <w:jc w:val="both"/>
        <w:rPr>
          <w:rFonts w:asciiTheme="majorBidi" w:hAnsiTheme="majorBidi" w:cstheme="majorBidi"/>
          <w:lang w:eastAsia="zh-CN"/>
        </w:rPr>
      </w:pPr>
    </w:p>
    <w:p w14:paraId="291AEED9" w14:textId="7A55F4A7" w:rsidR="00E041B5" w:rsidRPr="00D636AC" w:rsidRDefault="00261F4F" w:rsidP="00D636AC">
      <w:pPr>
        <w:pStyle w:val="NormalWeb"/>
        <w:spacing w:line="360" w:lineRule="auto"/>
        <w:contextualSpacing/>
        <w:jc w:val="both"/>
        <w:rPr>
          <w:rFonts w:asciiTheme="majorBidi" w:eastAsiaTheme="minorHAnsi" w:hAnsiTheme="majorBidi" w:cstheme="majorBidi"/>
        </w:rPr>
      </w:pPr>
      <w:r w:rsidRPr="00D636AC">
        <w:rPr>
          <w:rFonts w:asciiTheme="majorBidi" w:eastAsiaTheme="minorHAnsi" w:hAnsiTheme="majorBidi" w:cstheme="majorBidi"/>
          <w:b/>
        </w:rPr>
        <w:t xml:space="preserve">Subfolder: </w:t>
      </w:r>
      <w:r w:rsidR="00E041B5" w:rsidRPr="00D636AC">
        <w:rPr>
          <w:rFonts w:asciiTheme="majorBidi" w:eastAsiaTheme="minorHAnsi" w:hAnsiTheme="majorBidi" w:cstheme="majorBidi"/>
          <w:b/>
        </w:rPr>
        <w:t>Bacteria Imaging and Quantification</w:t>
      </w:r>
      <w:r w:rsidRPr="00D636AC">
        <w:rPr>
          <w:rFonts w:asciiTheme="majorBidi" w:eastAsiaTheme="minorHAnsi" w:hAnsiTheme="majorBidi" w:cstheme="majorBidi"/>
          <w:b/>
        </w:rPr>
        <w:t xml:space="preserve"> (SEM, LIVE/DEAD images, and ATP)</w:t>
      </w:r>
      <w:r w:rsidR="00E041B5" w:rsidRPr="00D636AC">
        <w:rPr>
          <w:rFonts w:asciiTheme="majorBidi" w:eastAsiaTheme="minorHAnsi" w:hAnsiTheme="majorBidi" w:cstheme="majorBidi"/>
          <w:b/>
        </w:rPr>
        <w:t xml:space="preserve">. </w:t>
      </w:r>
    </w:p>
    <w:p w14:paraId="7D18A7E2" w14:textId="7647B02A" w:rsidR="00261F4F" w:rsidRPr="00D636AC" w:rsidRDefault="00261F4F" w:rsidP="00D636AC">
      <w:pPr>
        <w:pStyle w:val="NormalWeb"/>
        <w:spacing w:line="360" w:lineRule="auto"/>
        <w:contextualSpacing/>
        <w:jc w:val="both"/>
        <w:rPr>
          <w:rFonts w:asciiTheme="majorBidi" w:hAnsiTheme="majorBidi" w:cstheme="majorBidi"/>
        </w:rPr>
      </w:pPr>
      <w:r w:rsidRPr="00D636AC">
        <w:rPr>
          <w:rFonts w:asciiTheme="majorBidi" w:eastAsiaTheme="minorHAnsi" w:hAnsiTheme="majorBidi" w:cstheme="majorBidi"/>
          <w:b/>
        </w:rPr>
        <w:t>SEM:</w:t>
      </w:r>
      <w:r w:rsidRPr="00D636AC">
        <w:rPr>
          <w:rFonts w:asciiTheme="majorBidi" w:eastAsiaTheme="minorHAnsi" w:hAnsiTheme="majorBidi" w:cstheme="majorBidi"/>
        </w:rPr>
        <w:t xml:space="preserve"> </w:t>
      </w:r>
      <w:r w:rsidRPr="00D636AC">
        <w:rPr>
          <w:rFonts w:asciiTheme="majorBidi" w:hAnsiTheme="majorBidi" w:cstheme="majorBidi"/>
        </w:rPr>
        <w:t>After 24 hr of co-culture, the samples were fixed 2.5 % glutaraldehyde for bacteria buffer for overnight at 4 °C and then rinsed in 0.1 M sodium cacodylate. Samples were post fixed in 1% osmium tetroxide for 1 hr at RT then washed 3x with distilled H</w:t>
      </w:r>
      <w:r w:rsidRPr="00D636AC">
        <w:rPr>
          <w:rFonts w:asciiTheme="majorBidi" w:hAnsiTheme="majorBidi" w:cstheme="majorBidi"/>
          <w:vertAlign w:val="subscript"/>
        </w:rPr>
        <w:t>2</w:t>
      </w:r>
      <w:r w:rsidRPr="00D636AC">
        <w:rPr>
          <w:rFonts w:asciiTheme="majorBidi" w:hAnsiTheme="majorBidi" w:cstheme="majorBidi"/>
        </w:rPr>
        <w:t xml:space="preserve">O for 10 min. The samples were then stained by 0.5% uranyl acetate for 1 hr in the dark. For dehydration a 30-100% ethanol series were applied. A </w:t>
      </w:r>
      <w:proofErr w:type="spellStart"/>
      <w:r w:rsidRPr="00D636AC">
        <w:rPr>
          <w:rFonts w:asciiTheme="majorBidi" w:hAnsiTheme="majorBidi" w:cstheme="majorBidi"/>
        </w:rPr>
        <w:t>hexamethyldisiloxane</w:t>
      </w:r>
      <w:proofErr w:type="spellEnd"/>
      <w:r w:rsidRPr="00D636AC">
        <w:rPr>
          <w:rFonts w:asciiTheme="majorBidi" w:hAnsiTheme="majorBidi" w:cstheme="majorBidi"/>
        </w:rPr>
        <w:t xml:space="preserve"> step was conducted prior to sputter coating (20 nm gold/palladium). Samples viewed on a JEOL IT100 SEM running at 10-20 </w:t>
      </w:r>
      <w:proofErr w:type="spellStart"/>
      <w:r w:rsidRPr="00D636AC">
        <w:rPr>
          <w:rFonts w:asciiTheme="majorBidi" w:hAnsiTheme="majorBidi" w:cstheme="majorBidi"/>
        </w:rPr>
        <w:t>Kv</w:t>
      </w:r>
      <w:proofErr w:type="spellEnd"/>
      <w:r w:rsidRPr="00D636AC">
        <w:rPr>
          <w:rFonts w:asciiTheme="majorBidi" w:hAnsiTheme="majorBidi" w:cstheme="majorBidi"/>
        </w:rPr>
        <w:t xml:space="preserve">, on Secondary Electron Detector (SED) mode, tiff Images captured using JEOL Intouch Scope software version 1.03.  </w:t>
      </w:r>
    </w:p>
    <w:p w14:paraId="527790E0" w14:textId="34D09F05" w:rsidR="00261F4F" w:rsidRPr="00D636AC" w:rsidRDefault="00261F4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A50774">
        <w:rPr>
          <w:rFonts w:asciiTheme="majorBidi" w:hAnsiTheme="majorBidi" w:cstheme="majorBidi"/>
          <w:b/>
        </w:rPr>
        <w:t>5</w:t>
      </w:r>
      <w:r w:rsidRPr="00D636AC">
        <w:rPr>
          <w:rFonts w:asciiTheme="majorBidi" w:hAnsiTheme="majorBidi" w:cstheme="majorBidi"/>
          <w:b/>
        </w:rPr>
        <w:t>-a:</w:t>
      </w:r>
      <w:r w:rsidRPr="00D636AC">
        <w:rPr>
          <w:rFonts w:asciiTheme="majorBidi" w:hAnsiTheme="majorBidi" w:cstheme="majorBidi"/>
        </w:rPr>
        <w:t xml:space="preserve"> SEM shows that the bacterium </w:t>
      </w:r>
      <w:r w:rsidR="00831B00" w:rsidRPr="00D636AC">
        <w:rPr>
          <w:rFonts w:asciiTheme="majorBidi" w:hAnsiTheme="majorBidi" w:cstheme="majorBidi"/>
        </w:rPr>
        <w:t>stays</w:t>
      </w:r>
      <w:r w:rsidRPr="00D636AC">
        <w:rPr>
          <w:rFonts w:asciiTheme="majorBidi" w:hAnsiTheme="majorBidi" w:cstheme="majorBidi"/>
        </w:rPr>
        <w:t xml:space="preserve"> on top of the nanowires and lose flagellum (arrows) after </w:t>
      </w:r>
      <w:r w:rsidR="00831B00" w:rsidRPr="00D636AC">
        <w:rPr>
          <w:rFonts w:asciiTheme="majorBidi" w:hAnsiTheme="majorBidi" w:cstheme="majorBidi"/>
        </w:rPr>
        <w:t>4-hour</w:t>
      </w:r>
      <w:r w:rsidRPr="00D636AC">
        <w:rPr>
          <w:rFonts w:asciiTheme="majorBidi" w:hAnsiTheme="majorBidi" w:cstheme="majorBidi"/>
        </w:rPr>
        <w:t xml:space="preserve"> culture.</w:t>
      </w:r>
    </w:p>
    <w:p w14:paraId="62075AD1" w14:textId="77777777" w:rsidR="00261F4F" w:rsidRPr="00D636AC" w:rsidRDefault="00261F4F" w:rsidP="00D636AC">
      <w:pPr>
        <w:pStyle w:val="NormalWeb"/>
        <w:spacing w:line="360" w:lineRule="auto"/>
        <w:contextualSpacing/>
        <w:jc w:val="both"/>
        <w:rPr>
          <w:rFonts w:asciiTheme="majorBidi" w:hAnsiTheme="majorBidi" w:cstheme="majorBidi"/>
        </w:rPr>
      </w:pPr>
    </w:p>
    <w:p w14:paraId="4ED4EA5A" w14:textId="0CD427FF" w:rsidR="00E041B5" w:rsidRPr="00D636AC" w:rsidRDefault="00261F4F" w:rsidP="00D636AC">
      <w:pPr>
        <w:pStyle w:val="NormalWeb"/>
        <w:spacing w:line="360" w:lineRule="auto"/>
        <w:contextualSpacing/>
        <w:jc w:val="both"/>
        <w:rPr>
          <w:rFonts w:asciiTheme="majorBidi" w:eastAsiaTheme="minorHAnsi" w:hAnsiTheme="majorBidi" w:cstheme="majorBidi"/>
        </w:rPr>
      </w:pPr>
      <w:r w:rsidRPr="00D636AC">
        <w:rPr>
          <w:rFonts w:asciiTheme="majorBidi" w:eastAsiaTheme="minorHAnsi" w:hAnsiTheme="majorBidi" w:cstheme="majorBidi"/>
          <w:b/>
        </w:rPr>
        <w:t>Live/</w:t>
      </w:r>
      <w:r w:rsidR="00D636AC">
        <w:rPr>
          <w:rFonts w:asciiTheme="majorBidi" w:eastAsiaTheme="minorHAnsi" w:hAnsiTheme="majorBidi" w:cstheme="majorBidi"/>
          <w:b/>
        </w:rPr>
        <w:t>D</w:t>
      </w:r>
      <w:r w:rsidRPr="00D636AC">
        <w:rPr>
          <w:rFonts w:asciiTheme="majorBidi" w:eastAsiaTheme="minorHAnsi" w:hAnsiTheme="majorBidi" w:cstheme="majorBidi"/>
          <w:b/>
        </w:rPr>
        <w:t>ead:</w:t>
      </w:r>
      <w:r w:rsidRPr="00D636AC">
        <w:rPr>
          <w:rFonts w:asciiTheme="majorBidi" w:eastAsiaTheme="minorHAnsi" w:hAnsiTheme="majorBidi" w:cstheme="majorBidi"/>
        </w:rPr>
        <w:t xml:space="preserve"> </w:t>
      </w:r>
      <w:r w:rsidR="00E041B5" w:rsidRPr="00D636AC">
        <w:rPr>
          <w:rFonts w:asciiTheme="majorBidi" w:eastAsiaTheme="minorHAnsi" w:hAnsiTheme="majorBidi" w:cstheme="majorBidi"/>
        </w:rPr>
        <w:t xml:space="preserve">Adhesion of bacteria on different types of material was observed using an inverted fluorescent microscope Zeiss </w:t>
      </w:r>
      <w:proofErr w:type="spellStart"/>
      <w:r w:rsidR="00E041B5" w:rsidRPr="00D636AC">
        <w:rPr>
          <w:rFonts w:asciiTheme="majorBidi" w:eastAsiaTheme="minorHAnsi" w:hAnsiTheme="majorBidi" w:cstheme="majorBidi"/>
        </w:rPr>
        <w:t>Axiovert</w:t>
      </w:r>
      <w:proofErr w:type="spellEnd"/>
      <w:r w:rsidR="00E041B5" w:rsidRPr="00D636AC">
        <w:rPr>
          <w:rFonts w:asciiTheme="majorBidi" w:eastAsiaTheme="minorHAnsi" w:hAnsiTheme="majorBidi" w:cstheme="majorBidi"/>
        </w:rPr>
        <w:t xml:space="preserve"> fluorescence microscope using live/dead staining (LIVE/DEAD </w:t>
      </w:r>
      <w:proofErr w:type="spellStart"/>
      <w:r w:rsidR="00E041B5" w:rsidRPr="00D636AC">
        <w:rPr>
          <w:rFonts w:asciiTheme="majorBidi" w:eastAsiaTheme="minorHAnsi" w:hAnsiTheme="majorBidi" w:cstheme="majorBidi"/>
        </w:rPr>
        <w:t>BacLight</w:t>
      </w:r>
      <w:proofErr w:type="spellEnd"/>
      <w:r w:rsidR="00E041B5" w:rsidRPr="00D636AC">
        <w:rPr>
          <w:rFonts w:asciiTheme="majorBidi" w:eastAsiaTheme="minorHAnsi" w:hAnsiTheme="majorBidi" w:cstheme="majorBidi"/>
        </w:rPr>
        <w:t xml:space="preserve"> bacterial viability kit, Molecular Probes), the green and red intensities were used to determine the threshold between live and dead bacteria, respectively.</w:t>
      </w:r>
    </w:p>
    <w:p w14:paraId="29B3DDFF" w14:textId="77777777" w:rsidR="00E041B5" w:rsidRPr="00D636AC" w:rsidRDefault="00E041B5" w:rsidP="00D636AC">
      <w:pPr>
        <w:pStyle w:val="NormalWeb"/>
        <w:spacing w:line="360" w:lineRule="auto"/>
        <w:contextualSpacing/>
        <w:jc w:val="both"/>
        <w:rPr>
          <w:rFonts w:asciiTheme="majorBidi" w:eastAsiaTheme="minorHAnsi" w:hAnsiTheme="majorBidi" w:cstheme="majorBidi"/>
        </w:rPr>
      </w:pPr>
      <w:r w:rsidRPr="00D636AC">
        <w:rPr>
          <w:rFonts w:asciiTheme="majorBidi" w:eastAsiaTheme="minorHAnsi" w:hAnsiTheme="majorBidi" w:cstheme="majorBidi"/>
        </w:rPr>
        <w:t xml:space="preserve">Live/dead </w:t>
      </w:r>
      <w:proofErr w:type="spellStart"/>
      <w:r w:rsidRPr="00D636AC">
        <w:rPr>
          <w:rFonts w:asciiTheme="majorBidi" w:eastAsiaTheme="minorHAnsi" w:hAnsiTheme="majorBidi" w:cstheme="majorBidi"/>
        </w:rPr>
        <w:t>BacLight</w:t>
      </w:r>
      <w:proofErr w:type="spellEnd"/>
      <w:r w:rsidRPr="00D636AC">
        <w:rPr>
          <w:rFonts w:asciiTheme="majorBidi" w:eastAsiaTheme="minorHAnsi" w:hAnsiTheme="majorBidi" w:cstheme="majorBidi"/>
        </w:rPr>
        <w:t xml:space="preserve"> bacterial viability kit and fluorescence microscopy were used for the quantitative assays of bacteria on coated or uncoated </w:t>
      </w:r>
      <w:proofErr w:type="spellStart"/>
      <w:r w:rsidRPr="00D636AC">
        <w:rPr>
          <w:rFonts w:asciiTheme="majorBidi" w:eastAsiaTheme="minorHAnsi" w:hAnsiTheme="majorBidi" w:cstheme="majorBidi"/>
        </w:rPr>
        <w:t>Ti</w:t>
      </w:r>
      <w:proofErr w:type="spellEnd"/>
      <w:r w:rsidRPr="00D636AC">
        <w:rPr>
          <w:rFonts w:asciiTheme="majorBidi" w:eastAsiaTheme="minorHAnsi" w:hAnsiTheme="majorBidi" w:cstheme="majorBidi"/>
        </w:rPr>
        <w:t xml:space="preserve"> discs. The live/dead stain was prepared using by diluting 1 µl of staining component A (STYO 9) and 1 µl of staining component B (propidium iodide) in 1 ml of dH</w:t>
      </w:r>
      <w:r w:rsidRPr="00D636AC">
        <w:rPr>
          <w:rFonts w:asciiTheme="majorBidi" w:eastAsiaTheme="minorHAnsi" w:hAnsiTheme="majorBidi" w:cstheme="majorBidi"/>
          <w:vertAlign w:val="subscript"/>
        </w:rPr>
        <w:t>2</w:t>
      </w:r>
      <w:r w:rsidRPr="00D636AC">
        <w:rPr>
          <w:rFonts w:asciiTheme="majorBidi" w:eastAsiaTheme="minorHAnsi" w:hAnsiTheme="majorBidi" w:cstheme="majorBidi"/>
        </w:rPr>
        <w:t xml:space="preserve">O. 500 µl of reagent mixture was added to each disc before incubating them at RT for 15 min before taking images. The total attachment (of live and dead cells) on </w:t>
      </w:r>
      <w:proofErr w:type="spellStart"/>
      <w:r w:rsidRPr="00D636AC">
        <w:rPr>
          <w:rFonts w:asciiTheme="majorBidi" w:eastAsiaTheme="minorHAnsi" w:hAnsiTheme="majorBidi" w:cstheme="majorBidi"/>
        </w:rPr>
        <w:t>Ti</w:t>
      </w:r>
      <w:proofErr w:type="spellEnd"/>
      <w:r w:rsidRPr="00D636AC">
        <w:rPr>
          <w:rFonts w:asciiTheme="majorBidi" w:eastAsiaTheme="minorHAnsi" w:hAnsiTheme="majorBidi" w:cstheme="majorBidi"/>
        </w:rPr>
        <w:t xml:space="preserve"> surfaces was measured to quantify the percentage of dead bacteria using the following formula:</w:t>
      </w:r>
    </w:p>
    <w:p w14:paraId="2AC9C8DC" w14:textId="7385A706" w:rsidR="00E041B5" w:rsidRPr="00D636AC" w:rsidRDefault="00E041B5" w:rsidP="00D636AC">
      <w:pPr>
        <w:pStyle w:val="NormalWeb"/>
        <w:spacing w:line="360" w:lineRule="auto"/>
        <w:contextualSpacing/>
        <w:jc w:val="both"/>
        <w:rPr>
          <w:rFonts w:asciiTheme="majorBidi" w:eastAsiaTheme="minorHAnsi" w:hAnsiTheme="majorBidi" w:cstheme="majorBidi"/>
        </w:rPr>
      </w:pPr>
      <w:r w:rsidRPr="00D636AC">
        <w:rPr>
          <w:rFonts w:asciiTheme="majorBidi" w:eastAsiaTheme="minorHAnsi" w:hAnsiTheme="majorBidi" w:cstheme="majorBidi"/>
        </w:rPr>
        <w:t>% of live or dead bacteria= (Number of live or dead bacteria)/ (Total number of cells)</w:t>
      </w:r>
    </w:p>
    <w:p w14:paraId="6965749B" w14:textId="74376002" w:rsidR="00261F4F" w:rsidRPr="00D636AC" w:rsidRDefault="00261F4F" w:rsidP="00D636AC">
      <w:pPr>
        <w:pStyle w:val="NormalWeb"/>
        <w:spacing w:line="360" w:lineRule="auto"/>
        <w:contextualSpacing/>
        <w:jc w:val="both"/>
        <w:rPr>
          <w:rFonts w:asciiTheme="majorBidi" w:eastAsiaTheme="minorHAnsi" w:hAnsiTheme="majorBidi" w:cstheme="majorBidi"/>
        </w:rPr>
      </w:pPr>
    </w:p>
    <w:p w14:paraId="0B6B16AE" w14:textId="111C34CB" w:rsidR="00261F4F" w:rsidRPr="00D636AC" w:rsidRDefault="00261F4F"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t xml:space="preserve">Figure </w:t>
      </w:r>
      <w:r w:rsidR="00A50774">
        <w:rPr>
          <w:rFonts w:asciiTheme="majorBidi" w:hAnsiTheme="majorBidi" w:cstheme="majorBidi"/>
          <w:b/>
        </w:rPr>
        <w:t>5</w:t>
      </w:r>
      <w:r w:rsidRPr="00D636AC">
        <w:rPr>
          <w:rFonts w:asciiTheme="majorBidi" w:hAnsiTheme="majorBidi" w:cstheme="majorBidi"/>
          <w:b/>
        </w:rPr>
        <w:t>-b:</w:t>
      </w:r>
      <w:r w:rsidRPr="00D636AC">
        <w:rPr>
          <w:rFonts w:asciiTheme="majorBidi" w:hAnsiTheme="majorBidi" w:cstheme="majorBidi"/>
        </w:rPr>
        <w:t xml:space="preserve"> Nanowires reduce </w:t>
      </w:r>
      <w:r w:rsidRPr="00D636AC">
        <w:rPr>
          <w:rFonts w:asciiTheme="majorBidi" w:hAnsiTheme="majorBidi" w:cstheme="majorBidi"/>
          <w:i/>
        </w:rPr>
        <w:t>P. aeruginosa</w:t>
      </w:r>
      <w:r w:rsidRPr="00D636AC">
        <w:rPr>
          <w:rFonts w:asciiTheme="majorBidi" w:hAnsiTheme="majorBidi" w:cstheme="majorBidi"/>
        </w:rPr>
        <w:t xml:space="preserve"> viability after 8</w:t>
      </w:r>
      <w:r w:rsidR="00831B00" w:rsidRPr="00D636AC">
        <w:rPr>
          <w:rFonts w:asciiTheme="majorBidi" w:hAnsiTheme="majorBidi" w:cstheme="majorBidi"/>
        </w:rPr>
        <w:t>-</w:t>
      </w:r>
      <w:r w:rsidRPr="00D636AC">
        <w:rPr>
          <w:rFonts w:asciiTheme="majorBidi" w:hAnsiTheme="majorBidi" w:cstheme="majorBidi"/>
        </w:rPr>
        <w:t>hour culture</w:t>
      </w:r>
    </w:p>
    <w:p w14:paraId="52923113" w14:textId="77777777" w:rsidR="00261F4F" w:rsidRPr="00D636AC" w:rsidRDefault="00261F4F" w:rsidP="00D636AC">
      <w:pPr>
        <w:pStyle w:val="NormalWeb"/>
        <w:spacing w:line="360" w:lineRule="auto"/>
        <w:contextualSpacing/>
        <w:jc w:val="both"/>
        <w:rPr>
          <w:rFonts w:asciiTheme="majorBidi" w:eastAsiaTheme="minorHAnsi" w:hAnsiTheme="majorBidi" w:cstheme="majorBidi"/>
        </w:rPr>
      </w:pPr>
    </w:p>
    <w:p w14:paraId="64C2B945" w14:textId="6BA33FAF" w:rsidR="00261F4F" w:rsidRPr="00D636AC" w:rsidRDefault="00261F4F" w:rsidP="00D636AC">
      <w:pPr>
        <w:pStyle w:val="NormalWeb"/>
        <w:spacing w:line="360" w:lineRule="auto"/>
        <w:contextualSpacing/>
        <w:jc w:val="both"/>
        <w:rPr>
          <w:rFonts w:asciiTheme="majorBidi" w:eastAsiaTheme="minorHAnsi" w:hAnsiTheme="majorBidi" w:cstheme="majorBidi"/>
        </w:rPr>
      </w:pPr>
      <w:r w:rsidRPr="00D636AC">
        <w:rPr>
          <w:rFonts w:asciiTheme="majorBidi" w:eastAsiaTheme="minorHAnsi" w:hAnsiTheme="majorBidi" w:cstheme="majorBidi"/>
          <w:b/>
        </w:rPr>
        <w:t>ATP analysis:</w:t>
      </w:r>
      <w:r w:rsidRPr="00D636AC">
        <w:rPr>
          <w:rFonts w:asciiTheme="majorBidi" w:eastAsiaTheme="minorHAnsi" w:hAnsiTheme="majorBidi" w:cstheme="majorBidi"/>
        </w:rPr>
        <w:t xml:space="preserve"> To evaluate the viable bacterial cell numbers based on the ATP present, the nanowires surfaces, and controls were placed into a 24 well plate and submerged with the bacterial suspension. Plates were incubated for 18 hr at 37 °C under static conditions. After incubation, supernatants were removed into new 96 well and equal amount of </w:t>
      </w:r>
      <w:proofErr w:type="spellStart"/>
      <w:r w:rsidRPr="00D636AC">
        <w:rPr>
          <w:rFonts w:asciiTheme="majorBidi" w:eastAsiaTheme="minorHAnsi" w:hAnsiTheme="majorBidi" w:cstheme="majorBidi"/>
        </w:rPr>
        <w:t>BacTiter</w:t>
      </w:r>
      <w:proofErr w:type="spellEnd"/>
      <w:r w:rsidRPr="00D636AC">
        <w:rPr>
          <w:rFonts w:asciiTheme="majorBidi" w:eastAsiaTheme="minorHAnsi" w:hAnsiTheme="majorBidi" w:cstheme="majorBidi"/>
        </w:rPr>
        <w:t>-Glo Reagent (</w:t>
      </w:r>
      <w:proofErr w:type="spellStart"/>
      <w:r w:rsidRPr="00D636AC">
        <w:rPr>
          <w:rFonts w:asciiTheme="majorBidi" w:eastAsiaTheme="minorHAnsi" w:hAnsiTheme="majorBidi" w:cstheme="majorBidi"/>
        </w:rPr>
        <w:t>Promage</w:t>
      </w:r>
      <w:proofErr w:type="spellEnd"/>
      <w:r w:rsidRPr="00D636AC">
        <w:rPr>
          <w:rFonts w:asciiTheme="majorBidi" w:eastAsiaTheme="minorHAnsi" w:hAnsiTheme="majorBidi" w:cstheme="majorBidi"/>
        </w:rPr>
        <w:t>, UK). The plates were read within 5 minutes of adding the reagent using a luminescence plate reader (</w:t>
      </w:r>
      <w:proofErr w:type="spellStart"/>
      <w:r w:rsidRPr="00D636AC">
        <w:rPr>
          <w:rFonts w:asciiTheme="majorBidi" w:eastAsiaTheme="minorHAnsi" w:hAnsiTheme="majorBidi" w:cstheme="majorBidi"/>
        </w:rPr>
        <w:t>CLARIOstar</w:t>
      </w:r>
      <w:proofErr w:type="spellEnd"/>
      <w:r w:rsidRPr="00D636AC">
        <w:rPr>
          <w:rFonts w:asciiTheme="majorBidi" w:eastAsiaTheme="minorHAnsi" w:hAnsiTheme="majorBidi" w:cstheme="majorBidi"/>
        </w:rPr>
        <w:t>, BMG LABTECH, Germany).</w:t>
      </w:r>
    </w:p>
    <w:p w14:paraId="70CF1595" w14:textId="537BDC74" w:rsidR="00261F4F" w:rsidRPr="00D636AC" w:rsidRDefault="00261F4F" w:rsidP="00D636AC">
      <w:pPr>
        <w:pStyle w:val="NormalWeb"/>
        <w:spacing w:line="360" w:lineRule="auto"/>
        <w:contextualSpacing/>
        <w:jc w:val="both"/>
        <w:rPr>
          <w:rFonts w:asciiTheme="majorBidi" w:eastAsiaTheme="minorHAnsi" w:hAnsiTheme="majorBidi" w:cstheme="majorBidi"/>
        </w:rPr>
      </w:pPr>
    </w:p>
    <w:p w14:paraId="51C53A90" w14:textId="6FFEDB10" w:rsidR="00261F4F" w:rsidRPr="00D636AC" w:rsidRDefault="00261F4F"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t xml:space="preserve">Figure </w:t>
      </w:r>
      <w:r w:rsidR="00A50774">
        <w:rPr>
          <w:rFonts w:asciiTheme="majorBidi" w:hAnsiTheme="majorBidi" w:cstheme="majorBidi"/>
          <w:b/>
        </w:rPr>
        <w:t>5</w:t>
      </w:r>
      <w:r w:rsidRPr="00D636AC">
        <w:rPr>
          <w:rFonts w:asciiTheme="majorBidi" w:hAnsiTheme="majorBidi" w:cstheme="majorBidi"/>
          <w:b/>
        </w:rPr>
        <w:t>-c:</w:t>
      </w:r>
      <w:r w:rsidRPr="00D636AC">
        <w:rPr>
          <w:rFonts w:asciiTheme="majorBidi" w:hAnsiTheme="majorBidi" w:cstheme="majorBidi"/>
        </w:rPr>
        <w:t xml:space="preserve"> </w:t>
      </w:r>
      <w:r w:rsidRPr="00D636AC">
        <w:rPr>
          <w:rFonts w:asciiTheme="majorBidi" w:hAnsiTheme="majorBidi" w:cstheme="majorBidi"/>
          <w:b/>
        </w:rPr>
        <w:t>ATP assay for planktonic bacteria showing more unattached bacteria with 24 hour nanowire culture</w:t>
      </w:r>
    </w:p>
    <w:p w14:paraId="0634D1A7" w14:textId="77777777" w:rsidR="00261F4F" w:rsidRPr="00D636AC" w:rsidRDefault="00261F4F" w:rsidP="00D636AC">
      <w:pPr>
        <w:pStyle w:val="NormalWeb"/>
        <w:spacing w:line="360" w:lineRule="auto"/>
        <w:contextualSpacing/>
        <w:jc w:val="both"/>
        <w:rPr>
          <w:rFonts w:asciiTheme="majorBidi" w:eastAsiaTheme="minorHAnsi" w:hAnsiTheme="majorBidi" w:cstheme="majorBidi"/>
        </w:rPr>
      </w:pPr>
    </w:p>
    <w:p w14:paraId="2AE50798" w14:textId="6EF52D3A" w:rsidR="00E041B5" w:rsidRPr="00D636AC" w:rsidRDefault="00E041B5" w:rsidP="00D636AC">
      <w:pPr>
        <w:pStyle w:val="NormalWeb"/>
        <w:spacing w:line="360" w:lineRule="auto"/>
        <w:contextualSpacing/>
        <w:jc w:val="both"/>
        <w:rPr>
          <w:rFonts w:asciiTheme="majorBidi" w:hAnsiTheme="majorBidi" w:cstheme="majorBidi"/>
          <w:b/>
          <w:lang w:eastAsia="zh-CN"/>
        </w:rPr>
      </w:pPr>
      <w:r w:rsidRPr="00D636AC">
        <w:rPr>
          <w:rFonts w:asciiTheme="majorBidi" w:eastAsiaTheme="minorHAnsi" w:hAnsiTheme="majorBidi" w:cstheme="majorBidi"/>
          <w:b/>
        </w:rPr>
        <w:t xml:space="preserve">Metabolomics. </w:t>
      </w:r>
      <w:r w:rsidRPr="00D636AC">
        <w:rPr>
          <w:rFonts w:asciiTheme="majorBidi" w:eastAsiaTheme="minorHAnsi" w:hAnsiTheme="majorBidi" w:cstheme="majorBidi"/>
          <w:i/>
        </w:rPr>
        <w:t>P. aeruginosa</w:t>
      </w:r>
      <w:r w:rsidRPr="00D636AC">
        <w:rPr>
          <w:rFonts w:asciiTheme="majorBidi" w:eastAsiaTheme="minorHAnsi" w:hAnsiTheme="majorBidi" w:cstheme="majorBidi"/>
        </w:rPr>
        <w:t xml:space="preserve"> cultured on different </w:t>
      </w:r>
      <w:proofErr w:type="spellStart"/>
      <w:r w:rsidRPr="00D636AC">
        <w:rPr>
          <w:rFonts w:asciiTheme="majorBidi" w:eastAsiaTheme="minorHAnsi" w:hAnsiTheme="majorBidi" w:cstheme="majorBidi"/>
        </w:rPr>
        <w:t>Ti</w:t>
      </w:r>
      <w:proofErr w:type="spellEnd"/>
      <w:r w:rsidRPr="00D636AC">
        <w:rPr>
          <w:rFonts w:asciiTheme="majorBidi" w:eastAsiaTheme="minorHAnsi" w:hAnsiTheme="majorBidi" w:cstheme="majorBidi"/>
        </w:rPr>
        <w:t xml:space="preserve"> surfaces for 24 hr.  After incubation, each </w:t>
      </w:r>
      <w:proofErr w:type="spellStart"/>
      <w:r w:rsidRPr="00D636AC">
        <w:rPr>
          <w:rFonts w:asciiTheme="majorBidi" w:eastAsiaTheme="minorHAnsi" w:hAnsiTheme="majorBidi" w:cstheme="majorBidi"/>
        </w:rPr>
        <w:t>Ti</w:t>
      </w:r>
      <w:proofErr w:type="spellEnd"/>
      <w:r w:rsidRPr="00D636AC">
        <w:rPr>
          <w:rFonts w:asciiTheme="majorBidi" w:eastAsiaTheme="minorHAnsi" w:hAnsiTheme="majorBidi" w:cstheme="majorBidi"/>
        </w:rPr>
        <w:t xml:space="preserve"> disc was transferred to a bijou and kept on ice. A 1 ml: 1g mixture of a chloroform, ethanol and ddH</w:t>
      </w:r>
      <w:r w:rsidRPr="00D636AC">
        <w:rPr>
          <w:rFonts w:asciiTheme="majorBidi" w:eastAsiaTheme="minorHAnsi" w:hAnsiTheme="majorBidi" w:cstheme="majorBidi"/>
          <w:vertAlign w:val="subscript"/>
        </w:rPr>
        <w:t>2</w:t>
      </w:r>
      <w:r w:rsidRPr="00D636AC">
        <w:rPr>
          <w:rFonts w:asciiTheme="majorBidi" w:eastAsiaTheme="minorHAnsi" w:hAnsiTheme="majorBidi" w:cstheme="majorBidi"/>
        </w:rPr>
        <w:t>0 (CEW, ratio 1:3:1) and acid washed glass beads 0.1 mm was produced, and 1 ml was added to each bijou. Samples were placed on a cell disrupter (Disrupter Genie bead beater, Scientific industries Inc., New York, USA) operating at a speed of 3000 rpm, 3x for 30 sec. On removal all the liquid/bead mixture was transferred to microcentrifuge and centrifuged at 10,000 rpm for 3 minutes to remove the beads. The supernatant was subsequently transferred to a fresh microcentrifuge.</w:t>
      </w:r>
    </w:p>
    <w:p w14:paraId="28303CAB" w14:textId="7DB367E7" w:rsidR="00E041B5" w:rsidRPr="00D636AC" w:rsidRDefault="00E041B5" w:rsidP="00D636AC">
      <w:pPr>
        <w:pStyle w:val="NormalWeb"/>
        <w:spacing w:line="360" w:lineRule="auto"/>
        <w:contextualSpacing/>
        <w:jc w:val="both"/>
        <w:rPr>
          <w:rFonts w:asciiTheme="majorBidi" w:hAnsiTheme="majorBidi" w:cstheme="majorBidi"/>
        </w:rPr>
      </w:pPr>
    </w:p>
    <w:p w14:paraId="66A60812" w14:textId="559E4BE8" w:rsidR="00E041B5" w:rsidRPr="00D636AC" w:rsidRDefault="00261F4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A50774">
        <w:rPr>
          <w:rFonts w:asciiTheme="majorBidi" w:hAnsiTheme="majorBidi" w:cstheme="majorBidi"/>
          <w:b/>
        </w:rPr>
        <w:t>5</w:t>
      </w:r>
      <w:r w:rsidRPr="00D636AC">
        <w:rPr>
          <w:rFonts w:asciiTheme="majorBidi" w:hAnsiTheme="majorBidi" w:cstheme="majorBidi"/>
          <w:b/>
        </w:rPr>
        <w:t xml:space="preserve">-d&amp;e: </w:t>
      </w:r>
      <w:r w:rsidRPr="00D636AC">
        <w:rPr>
          <w:rFonts w:asciiTheme="majorBidi" w:hAnsiTheme="majorBidi" w:cstheme="majorBidi"/>
        </w:rPr>
        <w:t>Untargeted metabolomic analysis for amino acids after 24</w:t>
      </w:r>
      <w:r w:rsidR="00831B00" w:rsidRPr="00D636AC">
        <w:rPr>
          <w:rFonts w:asciiTheme="majorBidi" w:hAnsiTheme="majorBidi" w:cstheme="majorBidi"/>
        </w:rPr>
        <w:t>-</w:t>
      </w:r>
      <w:r w:rsidRPr="00D636AC">
        <w:rPr>
          <w:rFonts w:asciiTheme="majorBidi" w:hAnsiTheme="majorBidi" w:cstheme="majorBidi"/>
        </w:rPr>
        <w:t>hour culture</w:t>
      </w:r>
    </w:p>
    <w:p w14:paraId="0797A26B" w14:textId="647EEB9E" w:rsidR="00261F4F" w:rsidRPr="00D636AC" w:rsidRDefault="00831B00"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Supplementary Figure </w:t>
      </w:r>
      <w:r w:rsidR="00A75D49" w:rsidRPr="00D636AC">
        <w:rPr>
          <w:rFonts w:asciiTheme="majorBidi" w:hAnsiTheme="majorBidi" w:cstheme="majorBidi"/>
          <w:b/>
        </w:rPr>
        <w:t>3</w:t>
      </w:r>
      <w:r w:rsidR="00A50774">
        <w:rPr>
          <w:rFonts w:asciiTheme="majorBidi" w:hAnsiTheme="majorBidi" w:cstheme="majorBidi"/>
          <w:b/>
        </w:rPr>
        <w:t>&amp;4</w:t>
      </w:r>
      <w:r w:rsidR="00261F4F" w:rsidRPr="00D636AC">
        <w:rPr>
          <w:rFonts w:asciiTheme="majorBidi" w:hAnsiTheme="majorBidi" w:cstheme="majorBidi"/>
          <w:b/>
        </w:rPr>
        <w:t xml:space="preserve">: </w:t>
      </w:r>
      <w:r w:rsidR="00261F4F" w:rsidRPr="00D636AC">
        <w:rPr>
          <w:rFonts w:asciiTheme="majorBidi" w:hAnsiTheme="majorBidi" w:cstheme="majorBidi"/>
        </w:rPr>
        <w:t xml:space="preserve">Untargeted metabolomics data for </w:t>
      </w:r>
      <w:r w:rsidR="00261F4F" w:rsidRPr="00A50774">
        <w:rPr>
          <w:rFonts w:asciiTheme="majorBidi" w:hAnsiTheme="majorBidi" w:cstheme="majorBidi"/>
          <w:i/>
          <w:iCs/>
        </w:rPr>
        <w:t>P. aeruginosa</w:t>
      </w:r>
      <w:r w:rsidR="00261F4F" w:rsidRPr="00D636AC">
        <w:rPr>
          <w:rFonts w:asciiTheme="majorBidi" w:hAnsiTheme="majorBidi" w:cstheme="majorBidi"/>
        </w:rPr>
        <w:t xml:space="preserve"> amino acid metabolism</w:t>
      </w:r>
    </w:p>
    <w:p w14:paraId="2C41053F" w14:textId="5572FE5A" w:rsidR="00DC21CC" w:rsidRPr="00D636AC" w:rsidRDefault="00DC21CC" w:rsidP="00D636AC">
      <w:pPr>
        <w:pStyle w:val="NormalWeb"/>
        <w:spacing w:line="360" w:lineRule="auto"/>
        <w:contextualSpacing/>
        <w:jc w:val="both"/>
        <w:rPr>
          <w:rFonts w:asciiTheme="majorBidi" w:hAnsiTheme="majorBidi" w:cstheme="majorBidi"/>
          <w:b/>
        </w:rPr>
      </w:pPr>
    </w:p>
    <w:p w14:paraId="3794B2F0" w14:textId="7D2F22C8" w:rsidR="00DC21CC" w:rsidRPr="00D636AC" w:rsidRDefault="00DC21CC"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Data folders: MSC and PA co-culture</w:t>
      </w:r>
    </w:p>
    <w:p w14:paraId="14565DE0" w14:textId="34D2E19E" w:rsidR="00DC21CC" w:rsidRDefault="00DC21CC" w:rsidP="00C91F56">
      <w:pPr>
        <w:pStyle w:val="NormalWeb"/>
        <w:spacing w:line="360" w:lineRule="auto"/>
        <w:contextualSpacing/>
        <w:jc w:val="both"/>
        <w:rPr>
          <w:rFonts w:asciiTheme="majorBidi" w:hAnsiTheme="majorBidi" w:cstheme="majorBidi"/>
        </w:rPr>
      </w:pPr>
      <w:r w:rsidRPr="00D636AC">
        <w:rPr>
          <w:rFonts w:asciiTheme="majorBidi" w:hAnsiTheme="majorBidi" w:cstheme="majorBidi"/>
          <w:b/>
        </w:rPr>
        <w:t>SEM:</w:t>
      </w:r>
      <w:r w:rsidRPr="00D636AC">
        <w:rPr>
          <w:rFonts w:asciiTheme="majorBidi" w:hAnsiTheme="majorBidi" w:cstheme="majorBidi"/>
        </w:rPr>
        <w:t xml:space="preserve"> After 24 hr of co-culture, the samples were fixed in 1.5% glutaraldehyde for MSCs for 1 hr at RT and then rinsed in 0.1 M sodium cacodylate. Samples were post fixed in 1% osmium tetroxide for 1 hr at RT then washed 3x with distilled H</w:t>
      </w:r>
      <w:r w:rsidRPr="00D636AC">
        <w:rPr>
          <w:rFonts w:asciiTheme="majorBidi" w:hAnsiTheme="majorBidi" w:cstheme="majorBidi"/>
          <w:vertAlign w:val="subscript"/>
        </w:rPr>
        <w:t>2</w:t>
      </w:r>
      <w:r w:rsidRPr="00D636AC">
        <w:rPr>
          <w:rFonts w:asciiTheme="majorBidi" w:hAnsiTheme="majorBidi" w:cstheme="majorBidi"/>
        </w:rPr>
        <w:t xml:space="preserve">O for 10 min. The samples were then stained by 0.5% uranyl acetate for 1 hr in the dark. For dehydration a 30-100% ethanol series were applied. A </w:t>
      </w:r>
      <w:proofErr w:type="spellStart"/>
      <w:r w:rsidRPr="00D636AC">
        <w:rPr>
          <w:rFonts w:asciiTheme="majorBidi" w:hAnsiTheme="majorBidi" w:cstheme="majorBidi"/>
        </w:rPr>
        <w:t>hexamethyldisiloxane</w:t>
      </w:r>
      <w:proofErr w:type="spellEnd"/>
      <w:r w:rsidRPr="00D636AC">
        <w:rPr>
          <w:rFonts w:asciiTheme="majorBidi" w:hAnsiTheme="majorBidi" w:cstheme="majorBidi"/>
        </w:rPr>
        <w:t xml:space="preserve"> step was conducted prior to sputter coating (20 nm gold/palladium). Samples viewed on a JEOL IT100 SEM running at 10-20 </w:t>
      </w:r>
      <w:proofErr w:type="spellStart"/>
      <w:r w:rsidRPr="00D636AC">
        <w:rPr>
          <w:rFonts w:asciiTheme="majorBidi" w:hAnsiTheme="majorBidi" w:cstheme="majorBidi"/>
        </w:rPr>
        <w:t>Kv</w:t>
      </w:r>
      <w:proofErr w:type="spellEnd"/>
      <w:r w:rsidRPr="00D636AC">
        <w:rPr>
          <w:rFonts w:asciiTheme="majorBidi" w:hAnsiTheme="majorBidi" w:cstheme="majorBidi"/>
        </w:rPr>
        <w:t xml:space="preserve">, on Secondary Electron Detector (SED) mode, tiff Images captured using JEOL Intouch Scope software version 1.03.  </w:t>
      </w:r>
    </w:p>
    <w:p w14:paraId="1926382D" w14:textId="77777777" w:rsidR="00A50774" w:rsidRPr="00C91F56" w:rsidRDefault="00A50774" w:rsidP="00C91F56">
      <w:pPr>
        <w:pStyle w:val="NormalWeb"/>
        <w:spacing w:line="360" w:lineRule="auto"/>
        <w:contextualSpacing/>
        <w:jc w:val="both"/>
        <w:rPr>
          <w:rFonts w:asciiTheme="majorBidi" w:hAnsiTheme="majorBidi" w:cstheme="majorBidi"/>
        </w:rPr>
      </w:pPr>
    </w:p>
    <w:p w14:paraId="68C6D7AF" w14:textId="157B9160" w:rsidR="002E07B2" w:rsidRPr="00D636AC" w:rsidRDefault="002E07B2"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lastRenderedPageBreak/>
        <w:t xml:space="preserve">Figure </w:t>
      </w:r>
      <w:r w:rsidR="00A50774">
        <w:rPr>
          <w:rFonts w:asciiTheme="majorBidi" w:hAnsiTheme="majorBidi" w:cstheme="majorBidi"/>
          <w:b/>
        </w:rPr>
        <w:t>6</w:t>
      </w:r>
      <w:r w:rsidRPr="00D636AC">
        <w:rPr>
          <w:rFonts w:asciiTheme="majorBidi" w:hAnsiTheme="majorBidi" w:cstheme="majorBidi"/>
          <w:b/>
        </w:rPr>
        <w:t>-a</w:t>
      </w:r>
      <w:r w:rsidR="0034400E" w:rsidRPr="00D636AC">
        <w:rPr>
          <w:rFonts w:asciiTheme="majorBidi" w:hAnsiTheme="majorBidi" w:cstheme="majorBidi"/>
          <w:b/>
        </w:rPr>
        <w:t>&amp;c</w:t>
      </w:r>
      <w:r w:rsidRPr="00D636AC">
        <w:rPr>
          <w:rFonts w:asciiTheme="majorBidi" w:hAnsiTheme="majorBidi" w:cstheme="majorBidi"/>
          <w:b/>
        </w:rPr>
        <w:t>: SEM images for MSC and Pa co-culture</w:t>
      </w:r>
    </w:p>
    <w:p w14:paraId="523077A3" w14:textId="286A77DE" w:rsidR="0034400E" w:rsidRPr="00D636AC" w:rsidRDefault="0034400E" w:rsidP="00D636AC">
      <w:pPr>
        <w:pStyle w:val="NormalWeb"/>
        <w:spacing w:line="360" w:lineRule="auto"/>
        <w:contextualSpacing/>
        <w:jc w:val="both"/>
        <w:rPr>
          <w:rFonts w:asciiTheme="majorBidi" w:hAnsiTheme="majorBidi" w:cstheme="majorBidi"/>
          <w:b/>
        </w:rPr>
      </w:pPr>
    </w:p>
    <w:p w14:paraId="17853659" w14:textId="2E9B2F4A" w:rsidR="0034400E" w:rsidRPr="00D636AC" w:rsidRDefault="0034400E"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Immunofluorescence (IF): </w:t>
      </w:r>
      <w:r w:rsidRPr="00D636AC">
        <w:rPr>
          <w:rFonts w:asciiTheme="majorBidi" w:hAnsiTheme="majorBidi" w:cstheme="majorBidi"/>
        </w:rPr>
        <w:t xml:space="preserve">Two independent experiments with 3 technical replicate each, the discs of each substrate were analysed by immunofluorescence. Briefly, cells were fixed in 4% formaldehyde fixative at 37 °C for 15 min and permeabilized at 4 °C for 5 min. The samples were blocked with 1% BSA/PBS at 37 °C for 5 min and stained with the appropriate primary antibodies for pRUNX-2 or OPN (1:50 in 1% BSA/PBS, </w:t>
      </w:r>
      <w:proofErr w:type="spellStart"/>
      <w:r w:rsidRPr="00D636AC">
        <w:rPr>
          <w:rFonts w:asciiTheme="majorBidi" w:hAnsiTheme="majorBidi" w:cstheme="majorBidi"/>
        </w:rPr>
        <w:t>Autogen</w:t>
      </w:r>
      <w:proofErr w:type="spellEnd"/>
      <w:r w:rsidRPr="00D636AC">
        <w:rPr>
          <w:rFonts w:asciiTheme="majorBidi" w:hAnsiTheme="majorBidi" w:cstheme="majorBidi"/>
        </w:rPr>
        <w:t xml:space="preserve"> </w:t>
      </w:r>
      <w:proofErr w:type="spellStart"/>
      <w:r w:rsidRPr="00D636AC">
        <w:rPr>
          <w:rFonts w:asciiTheme="majorBidi" w:hAnsiTheme="majorBidi" w:cstheme="majorBidi"/>
        </w:rPr>
        <w:t>Bioclear</w:t>
      </w:r>
      <w:proofErr w:type="spellEnd"/>
      <w:r w:rsidRPr="00D636AC">
        <w:rPr>
          <w:rFonts w:asciiTheme="majorBidi" w:hAnsiTheme="majorBidi" w:cstheme="majorBidi"/>
        </w:rPr>
        <w:t xml:space="preserve">). Actin filaments were stained with phalloidin (1:100, Invitrogen). Two washes in 1 × PBS/0.5% Tween-20 (3 × 5 min at RT) followed and a secondary, biotin-conjugated antibody (1:50, horse monoclonal anti-mouse (IgG), Vector Laboratories) was added for 1 hr at 37 °C. The samples were washed, and streptavidin was added (1:50, Vector Laboratories) at 4 °C for 30 min, before the samples were given a final wash and mounted in </w:t>
      </w:r>
      <w:proofErr w:type="spellStart"/>
      <w:r w:rsidRPr="00D636AC">
        <w:rPr>
          <w:rFonts w:asciiTheme="majorBidi" w:hAnsiTheme="majorBidi" w:cstheme="majorBidi"/>
        </w:rPr>
        <w:t>Vectashield</w:t>
      </w:r>
      <w:proofErr w:type="spellEnd"/>
      <w:r w:rsidRPr="00D636AC">
        <w:rPr>
          <w:rFonts w:asciiTheme="majorBidi" w:hAnsiTheme="majorBidi" w:cstheme="majorBidi"/>
        </w:rPr>
        <w:t xml:space="preserve"> mounting medium (Vector Laboratories) containing DAPI to stain the nucleus. Visualisation was via a fluorescence microscope (Zeiss </w:t>
      </w:r>
      <w:proofErr w:type="spellStart"/>
      <w:r w:rsidRPr="00D636AC">
        <w:rPr>
          <w:rFonts w:asciiTheme="majorBidi" w:hAnsiTheme="majorBidi" w:cstheme="majorBidi"/>
        </w:rPr>
        <w:t>Axiovert</w:t>
      </w:r>
      <w:proofErr w:type="spellEnd"/>
      <w:r w:rsidRPr="00D636AC">
        <w:rPr>
          <w:rFonts w:asciiTheme="majorBidi" w:hAnsiTheme="majorBidi" w:cstheme="majorBidi"/>
        </w:rPr>
        <w:t xml:space="preserve"> 200 M, 10x magnification, NA 0.5). Comparisons of staining intensity between substrates was analysed by Image J software version 1.42q.</w:t>
      </w:r>
    </w:p>
    <w:p w14:paraId="1271E3F5" w14:textId="77777777" w:rsidR="0034400E" w:rsidRPr="00D636AC" w:rsidRDefault="0034400E" w:rsidP="00D636AC">
      <w:pPr>
        <w:pStyle w:val="NormalWeb"/>
        <w:spacing w:line="360" w:lineRule="auto"/>
        <w:contextualSpacing/>
        <w:jc w:val="both"/>
        <w:rPr>
          <w:rFonts w:asciiTheme="majorBidi" w:hAnsiTheme="majorBidi" w:cstheme="majorBidi"/>
          <w:b/>
        </w:rPr>
      </w:pPr>
    </w:p>
    <w:p w14:paraId="6F1FB622" w14:textId="40FF1D17" w:rsidR="0034400E" w:rsidRPr="00D636AC" w:rsidRDefault="0034400E"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t xml:space="preserve">Figure </w:t>
      </w:r>
      <w:r w:rsidR="00A50774">
        <w:rPr>
          <w:rFonts w:asciiTheme="majorBidi" w:hAnsiTheme="majorBidi" w:cstheme="majorBidi"/>
          <w:b/>
        </w:rPr>
        <w:t>6</w:t>
      </w:r>
      <w:r w:rsidRPr="00D636AC">
        <w:rPr>
          <w:rFonts w:asciiTheme="majorBidi" w:hAnsiTheme="majorBidi" w:cstheme="majorBidi"/>
          <w:b/>
        </w:rPr>
        <w:t xml:space="preserve">-b,d-f: </w:t>
      </w:r>
      <w:r w:rsidRPr="00D636AC">
        <w:rPr>
          <w:rFonts w:asciiTheme="majorBidi" w:hAnsiTheme="majorBidi" w:cstheme="majorBidi"/>
        </w:rPr>
        <w:t xml:space="preserve">IF images for MSC and </w:t>
      </w:r>
      <w:r w:rsidRPr="00D636AC">
        <w:rPr>
          <w:rFonts w:asciiTheme="majorBidi" w:hAnsiTheme="majorBidi" w:cstheme="majorBidi"/>
          <w:i/>
        </w:rPr>
        <w:t>P</w:t>
      </w:r>
      <w:r w:rsidR="00831B00" w:rsidRPr="00D636AC">
        <w:rPr>
          <w:rFonts w:asciiTheme="majorBidi" w:hAnsiTheme="majorBidi" w:cstheme="majorBidi"/>
          <w:i/>
        </w:rPr>
        <w:t>. aeruginosa</w:t>
      </w:r>
      <w:r w:rsidRPr="00D636AC">
        <w:rPr>
          <w:rFonts w:asciiTheme="majorBidi" w:hAnsiTheme="majorBidi" w:cstheme="majorBidi"/>
        </w:rPr>
        <w:t xml:space="preserve"> co-culture and </w:t>
      </w:r>
      <w:proofErr w:type="spellStart"/>
      <w:r w:rsidRPr="00D636AC">
        <w:rPr>
          <w:rFonts w:asciiTheme="majorBidi" w:hAnsiTheme="majorBidi" w:cstheme="majorBidi"/>
        </w:rPr>
        <w:t>pRUNX</w:t>
      </w:r>
      <w:proofErr w:type="spellEnd"/>
      <w:r w:rsidRPr="00D636AC">
        <w:rPr>
          <w:rFonts w:asciiTheme="majorBidi" w:hAnsiTheme="majorBidi" w:cstheme="majorBidi"/>
        </w:rPr>
        <w:t xml:space="preserve"> measurements</w:t>
      </w:r>
      <w:r w:rsidRPr="00D636AC">
        <w:rPr>
          <w:rFonts w:asciiTheme="majorBidi" w:hAnsiTheme="majorBidi" w:cstheme="majorBidi"/>
          <w:b/>
        </w:rPr>
        <w:t xml:space="preserve"> </w:t>
      </w:r>
    </w:p>
    <w:p w14:paraId="3565FC86" w14:textId="4D36B14B" w:rsidR="002E07B2" w:rsidRPr="00D636AC" w:rsidRDefault="00831B00"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t xml:space="preserve">Supplementary Figure </w:t>
      </w:r>
      <w:r w:rsidR="00A75D49" w:rsidRPr="00D636AC">
        <w:rPr>
          <w:rFonts w:asciiTheme="majorBidi" w:hAnsiTheme="majorBidi" w:cstheme="majorBidi"/>
          <w:b/>
        </w:rPr>
        <w:t>4</w:t>
      </w:r>
      <w:r w:rsidR="0034400E" w:rsidRPr="00D636AC">
        <w:rPr>
          <w:rFonts w:asciiTheme="majorBidi" w:hAnsiTheme="majorBidi" w:cstheme="majorBidi"/>
          <w:b/>
        </w:rPr>
        <w:t xml:space="preserve">: </w:t>
      </w:r>
      <w:r w:rsidR="0034400E" w:rsidRPr="00D636AC">
        <w:rPr>
          <w:rFonts w:asciiTheme="majorBidi" w:hAnsiTheme="majorBidi" w:cstheme="majorBidi"/>
        </w:rPr>
        <w:t>PA culture on agar plates to determine the best antibiotic concentration for co-culture experiments.</w:t>
      </w:r>
      <w:r w:rsidR="0034400E" w:rsidRPr="00D636AC">
        <w:rPr>
          <w:rFonts w:asciiTheme="majorBidi" w:hAnsiTheme="majorBidi" w:cstheme="majorBidi"/>
          <w:b/>
        </w:rPr>
        <w:t xml:space="preserve"> </w:t>
      </w:r>
    </w:p>
    <w:p w14:paraId="73FD037E" w14:textId="77777777" w:rsidR="0034400E" w:rsidRPr="00D636AC" w:rsidRDefault="0034400E" w:rsidP="00D636AC">
      <w:pPr>
        <w:pStyle w:val="NormalWeb"/>
        <w:spacing w:line="360" w:lineRule="auto"/>
        <w:contextualSpacing/>
        <w:jc w:val="both"/>
        <w:rPr>
          <w:rFonts w:asciiTheme="majorBidi" w:hAnsiTheme="majorBidi" w:cstheme="majorBidi"/>
          <w:b/>
        </w:rPr>
      </w:pPr>
    </w:p>
    <w:p w14:paraId="4276CF10" w14:textId="4C7BE2AF" w:rsidR="0034400E" w:rsidRPr="00D636AC" w:rsidRDefault="0034400E"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Data folders: MSC and PA QSSMs</w:t>
      </w:r>
    </w:p>
    <w:p w14:paraId="0F90A7E7" w14:textId="35442EEA" w:rsidR="00422B0F" w:rsidRPr="00D636AC" w:rsidRDefault="0088582F" w:rsidP="00D636AC">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b/>
          <w:lang w:eastAsia="zh-CN"/>
        </w:rPr>
        <w:t>Apoptosis assay by flowcytometry:</w:t>
      </w:r>
      <w:r w:rsidRPr="00D636AC">
        <w:rPr>
          <w:rFonts w:asciiTheme="majorBidi" w:hAnsiTheme="majorBidi" w:cstheme="majorBidi"/>
          <w:lang w:eastAsia="zh-CN"/>
        </w:rPr>
        <w:t xml:space="preserve"> </w:t>
      </w:r>
      <w:r w:rsidR="00831B00" w:rsidRPr="00D636AC">
        <w:rPr>
          <w:rFonts w:asciiTheme="majorBidi" w:hAnsiTheme="majorBidi" w:cstheme="majorBidi"/>
          <w:lang w:eastAsia="zh-CN"/>
        </w:rPr>
        <w:t xml:space="preserve">MSCs were incubated with 200 µM C12-HSL for 24 hr and then stained with an antibody against Annexin V to detect apoptosis. After incubation, the cells were harvested by adding 200 µl of trypsin and washed with PBS and another wash was applied using 1x binding buffer (the Annexin V binding buffer is a 10x concentrate composed of a 0.2 µm sterile filtered 0.1 M </w:t>
      </w:r>
      <w:proofErr w:type="spellStart"/>
      <w:r w:rsidR="00831B00" w:rsidRPr="00D636AC">
        <w:rPr>
          <w:rFonts w:asciiTheme="majorBidi" w:hAnsiTheme="majorBidi" w:cstheme="majorBidi"/>
          <w:lang w:eastAsia="zh-CN"/>
        </w:rPr>
        <w:t>Hepes</w:t>
      </w:r>
      <w:proofErr w:type="spellEnd"/>
      <w:r w:rsidR="00831B00" w:rsidRPr="00D636AC">
        <w:rPr>
          <w:rFonts w:asciiTheme="majorBidi" w:hAnsiTheme="majorBidi" w:cstheme="majorBidi"/>
          <w:lang w:eastAsia="zh-CN"/>
        </w:rPr>
        <w:t xml:space="preserve"> (pH 7.4), 1.4 M NaCl, and 25 mM CaCl2 in PBS solution). The cells were incubated with 5 µl of Annexin V staining for 15 mins/ dark/ RT. Another 500 µl of binding buffer were added and the cells were resuspended at 419 </w:t>
      </w:r>
      <w:proofErr w:type="spellStart"/>
      <w:r w:rsidR="00831B00" w:rsidRPr="00D636AC">
        <w:rPr>
          <w:rFonts w:asciiTheme="majorBidi" w:hAnsiTheme="majorBidi" w:cstheme="majorBidi"/>
          <w:lang w:eastAsia="zh-CN"/>
        </w:rPr>
        <w:t>xg</w:t>
      </w:r>
      <w:proofErr w:type="spellEnd"/>
      <w:r w:rsidR="00831B00" w:rsidRPr="00D636AC">
        <w:rPr>
          <w:rFonts w:asciiTheme="majorBidi" w:hAnsiTheme="majorBidi" w:cstheme="majorBidi"/>
          <w:lang w:eastAsia="zh-CN"/>
        </w:rPr>
        <w:t xml:space="preserve"> for 4 mins. Fresh 200 µl of binding buffer were added and 1 µl of PI before flow cytometry running. The excitation/emission for Annexin V is 494/518, and 535/617 for PI. The cells were gated, and standard compensation was applied (Figure 6b and Supplementary figure 5a) (Attune </w:t>
      </w:r>
      <w:proofErr w:type="spellStart"/>
      <w:r w:rsidR="00831B00" w:rsidRPr="00D636AC">
        <w:rPr>
          <w:rFonts w:asciiTheme="majorBidi" w:hAnsiTheme="majorBidi" w:cstheme="majorBidi"/>
          <w:lang w:eastAsia="zh-CN"/>
        </w:rPr>
        <w:t>NxT</w:t>
      </w:r>
      <w:proofErr w:type="spellEnd"/>
      <w:r w:rsidR="00831B00" w:rsidRPr="00D636AC">
        <w:rPr>
          <w:rFonts w:asciiTheme="majorBidi" w:hAnsiTheme="majorBidi" w:cstheme="majorBidi"/>
          <w:lang w:eastAsia="zh-CN"/>
        </w:rPr>
        <w:t>, life technologies).</w:t>
      </w:r>
    </w:p>
    <w:p w14:paraId="13C895FC" w14:textId="77777777" w:rsidR="00831B00" w:rsidRPr="00D636AC" w:rsidRDefault="00831B00" w:rsidP="00D636AC">
      <w:pPr>
        <w:pStyle w:val="NormalWeb"/>
        <w:spacing w:line="360" w:lineRule="auto"/>
        <w:contextualSpacing/>
        <w:jc w:val="both"/>
        <w:rPr>
          <w:rFonts w:asciiTheme="majorBidi" w:hAnsiTheme="majorBidi" w:cstheme="majorBidi"/>
          <w:b/>
          <w:lang w:eastAsia="zh-CN"/>
        </w:rPr>
      </w:pPr>
    </w:p>
    <w:p w14:paraId="1C75D448" w14:textId="5FA56955" w:rsidR="00422B0F" w:rsidRPr="00D636AC" w:rsidRDefault="00422B0F" w:rsidP="00D636AC">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b/>
          <w:lang w:eastAsia="zh-CN"/>
        </w:rPr>
        <w:lastRenderedPageBreak/>
        <w:t xml:space="preserve">Figure </w:t>
      </w:r>
      <w:r w:rsidR="00A50774">
        <w:rPr>
          <w:rFonts w:asciiTheme="majorBidi" w:hAnsiTheme="majorBidi" w:cstheme="majorBidi"/>
          <w:b/>
          <w:lang w:eastAsia="zh-CN"/>
        </w:rPr>
        <w:t>7</w:t>
      </w:r>
      <w:r w:rsidRPr="00D636AC">
        <w:rPr>
          <w:rFonts w:asciiTheme="majorBidi" w:hAnsiTheme="majorBidi" w:cstheme="majorBidi"/>
          <w:b/>
          <w:lang w:eastAsia="zh-CN"/>
        </w:rPr>
        <w:t xml:space="preserve"> a-c: </w:t>
      </w:r>
      <w:r w:rsidRPr="00D636AC">
        <w:rPr>
          <w:rFonts w:asciiTheme="majorBidi" w:hAnsiTheme="majorBidi" w:cstheme="majorBidi"/>
          <w:lang w:eastAsia="zh-CN"/>
        </w:rPr>
        <w:t xml:space="preserve">Effects of C12-HSL QSSM on MSCs culture on uncoated and </w:t>
      </w:r>
      <w:proofErr w:type="spellStart"/>
      <w:r w:rsidRPr="00D636AC">
        <w:rPr>
          <w:rFonts w:asciiTheme="majorBidi" w:hAnsiTheme="majorBidi" w:cstheme="majorBidi"/>
          <w:lang w:eastAsia="zh-CN"/>
        </w:rPr>
        <w:t>pPEA</w:t>
      </w:r>
      <w:proofErr w:type="spellEnd"/>
      <w:r w:rsidRPr="00D636AC">
        <w:rPr>
          <w:rFonts w:asciiTheme="majorBidi" w:hAnsiTheme="majorBidi" w:cstheme="majorBidi"/>
          <w:lang w:eastAsia="zh-CN"/>
        </w:rPr>
        <w:t xml:space="preserve"> coated nanowires. (a) Structure of C12-HSL. (b) Gating strategy for flow analysis allowing for selection of MSC sized cells and viability status attribution. (c) Quantification of viable, early apoptotic, late apoptotic and necrotic MSCs after 24 hour culture on control and test surfaces with and without C12-HSL.</w:t>
      </w:r>
    </w:p>
    <w:p w14:paraId="57D42C41" w14:textId="455B1C95" w:rsidR="0034400E" w:rsidRPr="00D636AC" w:rsidRDefault="0034400E" w:rsidP="00D636AC">
      <w:pPr>
        <w:pStyle w:val="NormalWeb"/>
        <w:spacing w:line="360" w:lineRule="auto"/>
        <w:contextualSpacing/>
        <w:jc w:val="both"/>
        <w:rPr>
          <w:rFonts w:asciiTheme="majorBidi" w:hAnsiTheme="majorBidi" w:cstheme="majorBidi"/>
          <w:b/>
          <w:lang w:eastAsia="zh-CN"/>
        </w:rPr>
      </w:pPr>
    </w:p>
    <w:p w14:paraId="536452EC" w14:textId="71B31BFA" w:rsidR="00422B0F" w:rsidRPr="00D636AC" w:rsidRDefault="00422B0F"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 xml:space="preserve">MTT assay: </w:t>
      </w:r>
      <w:r w:rsidRPr="00D636AC">
        <w:rPr>
          <w:rFonts w:asciiTheme="majorBidi" w:hAnsiTheme="majorBidi" w:cstheme="majorBidi"/>
          <w:lang w:eastAsia="zh-CN"/>
        </w:rPr>
        <w:t>MTT</w:t>
      </w:r>
      <w:r w:rsidR="00831B00" w:rsidRPr="00D636AC">
        <w:rPr>
          <w:rFonts w:asciiTheme="majorBidi" w:hAnsiTheme="majorBidi" w:cstheme="majorBidi"/>
          <w:lang w:eastAsia="zh-CN"/>
        </w:rPr>
        <w:t xml:space="preserve"> ((3-(4,5-dimethylthiazol-2-yl)-2,5-diphenyltetrazolium bromide, Sigma)</w:t>
      </w:r>
      <w:r w:rsidRPr="00D636AC">
        <w:rPr>
          <w:rFonts w:asciiTheme="majorBidi" w:hAnsiTheme="majorBidi" w:cstheme="majorBidi"/>
          <w:lang w:eastAsia="zh-CN"/>
        </w:rPr>
        <w:t xml:space="preserve"> assay is used to evaluate the metabolic activity of cells in the presence of C12-HSL at the 50, 200,400,800 µM concentration. After 24 hr incubation the 10 µl of MTT dye solution (5 mg/ml MTT in PBS, pH 7.4) was added to each well of a 96-well plate and incubated for 2 hr. After the incubation, formazan crystals were solubilised with 200 µl DMSO. The absorbance of each well at 550 nm was read on a </w:t>
      </w:r>
      <w:proofErr w:type="spellStart"/>
      <w:r w:rsidRPr="00D636AC">
        <w:rPr>
          <w:rFonts w:asciiTheme="majorBidi" w:hAnsiTheme="majorBidi" w:cstheme="majorBidi"/>
          <w:lang w:eastAsia="zh-CN"/>
        </w:rPr>
        <w:t>Dynatech</w:t>
      </w:r>
      <w:proofErr w:type="spellEnd"/>
      <w:r w:rsidRPr="00D636AC">
        <w:rPr>
          <w:rFonts w:asciiTheme="majorBidi" w:hAnsiTheme="majorBidi" w:cstheme="majorBidi"/>
          <w:lang w:eastAsia="zh-CN"/>
        </w:rPr>
        <w:t xml:space="preserve"> MR7000 microplate reader.</w:t>
      </w:r>
    </w:p>
    <w:p w14:paraId="414D02F2" w14:textId="5BA9E0F9" w:rsidR="0034400E" w:rsidRPr="00D636AC" w:rsidRDefault="0034400E" w:rsidP="00D636AC">
      <w:pPr>
        <w:pStyle w:val="NormalWeb"/>
        <w:spacing w:line="360" w:lineRule="auto"/>
        <w:contextualSpacing/>
        <w:jc w:val="both"/>
        <w:rPr>
          <w:rFonts w:asciiTheme="majorBidi" w:hAnsiTheme="majorBidi" w:cstheme="majorBidi"/>
          <w:b/>
        </w:rPr>
      </w:pPr>
    </w:p>
    <w:p w14:paraId="1F28A499" w14:textId="780834DD"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Sub </w:t>
      </w:r>
      <w:r w:rsidR="00A50774">
        <w:rPr>
          <w:rFonts w:asciiTheme="majorBidi" w:hAnsiTheme="majorBidi" w:cstheme="majorBidi"/>
          <w:b/>
        </w:rPr>
        <w:t>7</w:t>
      </w:r>
      <w:r w:rsidRPr="00D636AC">
        <w:rPr>
          <w:rFonts w:asciiTheme="majorBidi" w:hAnsiTheme="majorBidi" w:cstheme="majorBidi"/>
          <w:b/>
        </w:rPr>
        <w:t>-a:</w:t>
      </w:r>
      <w:r w:rsidRPr="00D636AC">
        <w:rPr>
          <w:rFonts w:asciiTheme="majorBidi" w:hAnsiTheme="majorBidi" w:cstheme="majorBidi"/>
        </w:rPr>
        <w:t xml:space="preserve"> MTT metabolic assay at 2, 24 and 48 hours of culture with C12-HSL</w:t>
      </w:r>
    </w:p>
    <w:p w14:paraId="535247B8" w14:textId="77777777" w:rsidR="006C10A6" w:rsidRPr="00D636AC" w:rsidRDefault="006C10A6" w:rsidP="00D636AC">
      <w:pPr>
        <w:pStyle w:val="NormalWeb"/>
        <w:spacing w:line="360" w:lineRule="auto"/>
        <w:contextualSpacing/>
        <w:jc w:val="both"/>
        <w:rPr>
          <w:rFonts w:asciiTheme="majorBidi" w:hAnsiTheme="majorBidi" w:cstheme="majorBidi"/>
          <w:b/>
        </w:rPr>
      </w:pPr>
    </w:p>
    <w:p w14:paraId="4A85C7BF" w14:textId="26F5E247"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LIVE/DEAD staining: </w:t>
      </w:r>
      <w:r w:rsidRPr="00D636AC">
        <w:rPr>
          <w:rFonts w:asciiTheme="majorBidi" w:hAnsiTheme="majorBidi" w:cstheme="majorBidi"/>
        </w:rPr>
        <w:t xml:space="preserve">The MSCs cultured with C12-HSL, the cells were washed twice in warm 1x PBS, which was then replaced with live/dead assay reagents (2 </w:t>
      </w:r>
      <w:proofErr w:type="spellStart"/>
      <w:r w:rsidRPr="00D636AC">
        <w:rPr>
          <w:rFonts w:asciiTheme="majorBidi" w:hAnsiTheme="majorBidi" w:cstheme="majorBidi"/>
        </w:rPr>
        <w:t>μM</w:t>
      </w:r>
      <w:proofErr w:type="spellEnd"/>
      <w:r w:rsidRPr="00D636AC">
        <w:rPr>
          <w:rFonts w:asciiTheme="majorBidi" w:hAnsiTheme="majorBidi" w:cstheme="majorBidi"/>
        </w:rPr>
        <w:t xml:space="preserve"> </w:t>
      </w:r>
      <w:proofErr w:type="spellStart"/>
      <w:r w:rsidRPr="00D636AC">
        <w:rPr>
          <w:rFonts w:asciiTheme="majorBidi" w:hAnsiTheme="majorBidi" w:cstheme="majorBidi"/>
        </w:rPr>
        <w:t>calcein</w:t>
      </w:r>
      <w:proofErr w:type="spellEnd"/>
      <w:r w:rsidRPr="00D636AC">
        <w:rPr>
          <w:rFonts w:asciiTheme="majorBidi" w:hAnsiTheme="majorBidi" w:cstheme="majorBidi"/>
        </w:rPr>
        <w:t xml:space="preserve"> AM and 4 </w:t>
      </w:r>
      <w:proofErr w:type="spellStart"/>
      <w:r w:rsidRPr="00D636AC">
        <w:rPr>
          <w:rFonts w:asciiTheme="majorBidi" w:hAnsiTheme="majorBidi" w:cstheme="majorBidi"/>
        </w:rPr>
        <w:t>μM</w:t>
      </w:r>
      <w:proofErr w:type="spellEnd"/>
      <w:r w:rsidRPr="00D636AC">
        <w:rPr>
          <w:rFonts w:asciiTheme="majorBidi" w:hAnsiTheme="majorBidi" w:cstheme="majorBidi"/>
        </w:rPr>
        <w:t xml:space="preserve"> ethidium homodimer-1 in DMEM) and incubated at RT for 15 min in the dark, then imaged using a Zeiss </w:t>
      </w:r>
      <w:proofErr w:type="spellStart"/>
      <w:r w:rsidRPr="00D636AC">
        <w:rPr>
          <w:rFonts w:asciiTheme="majorBidi" w:hAnsiTheme="majorBidi" w:cstheme="majorBidi"/>
        </w:rPr>
        <w:t>Axiovert</w:t>
      </w:r>
      <w:proofErr w:type="spellEnd"/>
      <w:r w:rsidRPr="00D636AC">
        <w:rPr>
          <w:rFonts w:asciiTheme="majorBidi" w:hAnsiTheme="majorBidi" w:cstheme="majorBidi"/>
        </w:rPr>
        <w:t xml:space="preserve"> fluorescence microscope.</w:t>
      </w:r>
    </w:p>
    <w:p w14:paraId="41F67BFC" w14:textId="27FF433F" w:rsidR="00422B0F" w:rsidRPr="00D636AC" w:rsidRDefault="00422B0F" w:rsidP="00D636AC">
      <w:pPr>
        <w:pStyle w:val="NormalWeb"/>
        <w:spacing w:line="360" w:lineRule="auto"/>
        <w:contextualSpacing/>
        <w:jc w:val="both"/>
        <w:rPr>
          <w:rFonts w:asciiTheme="majorBidi" w:hAnsiTheme="majorBidi" w:cstheme="majorBidi"/>
        </w:rPr>
      </w:pPr>
    </w:p>
    <w:p w14:paraId="06C3936B" w14:textId="6C40461F"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Sub </w:t>
      </w:r>
      <w:r w:rsidR="00A50774">
        <w:rPr>
          <w:rFonts w:asciiTheme="majorBidi" w:hAnsiTheme="majorBidi" w:cstheme="majorBidi"/>
          <w:b/>
        </w:rPr>
        <w:t>7</w:t>
      </w:r>
      <w:r w:rsidRPr="00D636AC">
        <w:rPr>
          <w:rFonts w:asciiTheme="majorBidi" w:hAnsiTheme="majorBidi" w:cstheme="majorBidi"/>
          <w:b/>
        </w:rPr>
        <w:t>-b&amp;c:</w:t>
      </w:r>
      <w:r w:rsidRPr="00D636AC">
        <w:rPr>
          <w:rFonts w:asciiTheme="majorBidi" w:hAnsiTheme="majorBidi" w:cstheme="majorBidi"/>
        </w:rPr>
        <w:t xml:space="preserve"> live/dead viability quantification from use of </w:t>
      </w:r>
      <w:proofErr w:type="spellStart"/>
      <w:r w:rsidRPr="00D636AC">
        <w:rPr>
          <w:rFonts w:asciiTheme="majorBidi" w:hAnsiTheme="majorBidi" w:cstheme="majorBidi"/>
        </w:rPr>
        <w:t>calcein</w:t>
      </w:r>
      <w:proofErr w:type="spellEnd"/>
      <w:r w:rsidRPr="00D636AC">
        <w:rPr>
          <w:rFonts w:asciiTheme="majorBidi" w:hAnsiTheme="majorBidi" w:cstheme="majorBidi"/>
        </w:rPr>
        <w:t xml:space="preserve"> AM and ethidium homodimer fluorescence stain</w:t>
      </w:r>
    </w:p>
    <w:p w14:paraId="16CC3D01" w14:textId="344D1DBD" w:rsidR="00422B0F" w:rsidRPr="00D636AC" w:rsidRDefault="00422B0F" w:rsidP="00D636AC">
      <w:pPr>
        <w:pStyle w:val="NormalWeb"/>
        <w:spacing w:line="360" w:lineRule="auto"/>
        <w:contextualSpacing/>
        <w:jc w:val="both"/>
        <w:rPr>
          <w:rFonts w:asciiTheme="majorBidi" w:hAnsiTheme="majorBidi" w:cstheme="majorBidi"/>
        </w:rPr>
      </w:pPr>
    </w:p>
    <w:p w14:paraId="0D7AB55A" w14:textId="70457598"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JC-1 analysis:</w:t>
      </w:r>
      <w:r w:rsidRPr="00D636AC">
        <w:rPr>
          <w:rFonts w:asciiTheme="majorBidi" w:hAnsiTheme="majorBidi" w:cstheme="majorBidi"/>
        </w:rPr>
        <w:t xml:space="preserve"> At the end of incubation period, the media contained the C12-HSL removed and a fresh media containing 200 </w:t>
      </w:r>
      <w:proofErr w:type="spellStart"/>
      <w:r w:rsidRPr="00D636AC">
        <w:rPr>
          <w:rFonts w:asciiTheme="majorBidi" w:hAnsiTheme="majorBidi" w:cstheme="majorBidi"/>
        </w:rPr>
        <w:t>μM</w:t>
      </w:r>
      <w:proofErr w:type="spellEnd"/>
      <w:r w:rsidRPr="00D636AC">
        <w:rPr>
          <w:rFonts w:asciiTheme="majorBidi" w:hAnsiTheme="majorBidi" w:cstheme="majorBidi"/>
        </w:rPr>
        <w:t xml:space="preserve"> of JC-1 (2 </w:t>
      </w:r>
      <w:proofErr w:type="spellStart"/>
      <w:r w:rsidRPr="00D636AC">
        <w:rPr>
          <w:rFonts w:asciiTheme="majorBidi" w:hAnsiTheme="majorBidi" w:cstheme="majorBidi"/>
        </w:rPr>
        <w:t>μM</w:t>
      </w:r>
      <w:proofErr w:type="spellEnd"/>
      <w:r w:rsidRPr="00D636AC">
        <w:rPr>
          <w:rFonts w:asciiTheme="majorBidi" w:hAnsiTheme="majorBidi" w:cstheme="majorBidi"/>
        </w:rPr>
        <w:t xml:space="preserve"> final concentration) were added to the cells, for the control tube, 1 </w:t>
      </w:r>
      <w:proofErr w:type="spellStart"/>
      <w:r w:rsidRPr="00D636AC">
        <w:rPr>
          <w:rFonts w:asciiTheme="majorBidi" w:hAnsiTheme="majorBidi" w:cstheme="majorBidi"/>
        </w:rPr>
        <w:t>μL</w:t>
      </w:r>
      <w:proofErr w:type="spellEnd"/>
      <w:r w:rsidRPr="00D636AC">
        <w:rPr>
          <w:rFonts w:asciiTheme="majorBidi" w:hAnsiTheme="majorBidi" w:cstheme="majorBidi"/>
        </w:rPr>
        <w:t xml:space="preserve"> of CCCP (50 </w:t>
      </w:r>
      <w:proofErr w:type="spellStart"/>
      <w:r w:rsidRPr="00D636AC">
        <w:rPr>
          <w:rFonts w:asciiTheme="majorBidi" w:hAnsiTheme="majorBidi" w:cstheme="majorBidi"/>
        </w:rPr>
        <w:t>μM</w:t>
      </w:r>
      <w:proofErr w:type="spellEnd"/>
      <w:r w:rsidRPr="00D636AC">
        <w:rPr>
          <w:rFonts w:asciiTheme="majorBidi" w:hAnsiTheme="majorBidi" w:cstheme="majorBidi"/>
        </w:rPr>
        <w:t xml:space="preserve"> final concentration) and incubated at 37 °C, 5% CO2, for 30 mins. Followed by single wash with PBS and pellet the cells by centrifugation at 419 </w:t>
      </w:r>
      <w:proofErr w:type="spellStart"/>
      <w:r w:rsidRPr="00D636AC">
        <w:rPr>
          <w:rFonts w:asciiTheme="majorBidi" w:hAnsiTheme="majorBidi" w:cstheme="majorBidi"/>
        </w:rPr>
        <w:t>xg</w:t>
      </w:r>
      <w:proofErr w:type="spellEnd"/>
      <w:r w:rsidRPr="00D636AC">
        <w:rPr>
          <w:rFonts w:asciiTheme="majorBidi" w:hAnsiTheme="majorBidi" w:cstheme="majorBidi"/>
        </w:rPr>
        <w:t xml:space="preserve"> for 4 mins. The cells resuspended in fresh PBS and analysed on a flow cytometer with 488 nm excitation using emission filters appropriate for Alexa Fluor 488 dye and R-phycoerythrin. The cells were gated, excluding debris using the CCCP-treated sample, and standard compensation was applied.</w:t>
      </w:r>
    </w:p>
    <w:p w14:paraId="23EE8621" w14:textId="2A4C2B58"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rPr>
        <w:t xml:space="preserve"> </w:t>
      </w:r>
    </w:p>
    <w:p w14:paraId="472797CD" w14:textId="3736BB80" w:rsidR="00422B0F" w:rsidRPr="00D636AC" w:rsidRDefault="00422B0F"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Sub </w:t>
      </w:r>
      <w:r w:rsidR="00A50774">
        <w:rPr>
          <w:rFonts w:asciiTheme="majorBidi" w:hAnsiTheme="majorBidi" w:cstheme="majorBidi"/>
          <w:b/>
        </w:rPr>
        <w:t>7</w:t>
      </w:r>
      <w:r w:rsidRPr="00D636AC">
        <w:rPr>
          <w:rFonts w:asciiTheme="majorBidi" w:hAnsiTheme="majorBidi" w:cstheme="majorBidi"/>
          <w:b/>
        </w:rPr>
        <w:t>-d:</w:t>
      </w:r>
      <w:r w:rsidRPr="00D636AC">
        <w:rPr>
          <w:rFonts w:asciiTheme="majorBidi" w:hAnsiTheme="majorBidi" w:cstheme="majorBidi"/>
        </w:rPr>
        <w:t xml:space="preserve"> JC-1 staining for mitochondrial activity showing gating strategy and % mitochondrial activity with increasing C12-HSL concentration</w:t>
      </w:r>
    </w:p>
    <w:p w14:paraId="3E2FB0FD" w14:textId="77777777" w:rsidR="006C10A6" w:rsidRPr="00D636AC" w:rsidRDefault="006C10A6" w:rsidP="006C10A6">
      <w:pPr>
        <w:pStyle w:val="NormalWeb"/>
        <w:spacing w:line="360" w:lineRule="auto"/>
        <w:contextualSpacing/>
        <w:jc w:val="both"/>
        <w:rPr>
          <w:rFonts w:asciiTheme="majorBidi" w:hAnsiTheme="majorBidi" w:cstheme="majorBidi"/>
          <w:lang w:eastAsia="zh-CN"/>
        </w:rPr>
      </w:pPr>
      <w:r w:rsidRPr="00D636AC">
        <w:rPr>
          <w:rFonts w:asciiTheme="majorBidi" w:hAnsiTheme="majorBidi" w:cstheme="majorBidi"/>
          <w:b/>
          <w:lang w:eastAsia="zh-CN"/>
        </w:rPr>
        <w:lastRenderedPageBreak/>
        <w:t xml:space="preserve">Supplementary figure </w:t>
      </w:r>
      <w:r>
        <w:rPr>
          <w:rFonts w:asciiTheme="majorBidi" w:hAnsiTheme="majorBidi" w:cstheme="majorBidi"/>
          <w:b/>
          <w:lang w:eastAsia="zh-CN"/>
        </w:rPr>
        <w:t>8</w:t>
      </w:r>
      <w:r w:rsidRPr="00D636AC">
        <w:rPr>
          <w:rFonts w:asciiTheme="majorBidi" w:hAnsiTheme="majorBidi" w:cstheme="majorBidi"/>
          <w:b/>
          <w:lang w:eastAsia="zh-CN"/>
        </w:rPr>
        <w:t>:</w:t>
      </w:r>
      <w:r w:rsidRPr="00D636AC">
        <w:rPr>
          <w:rFonts w:asciiTheme="majorBidi" w:hAnsiTheme="majorBidi" w:cstheme="majorBidi"/>
          <w:lang w:eastAsia="zh-CN"/>
        </w:rPr>
        <w:t xml:space="preserve"> </w:t>
      </w:r>
      <w:r w:rsidRPr="00D636AC">
        <w:rPr>
          <w:rFonts w:asciiTheme="majorBidi" w:hAnsiTheme="majorBidi" w:cstheme="majorBidi"/>
          <w:iCs/>
          <w:lang w:eastAsia="zh-CN"/>
        </w:rPr>
        <w:t>MSC viability by annexin V and propidium iodide flow cytometry with exposure to different concentrations of C12-HSL</w:t>
      </w:r>
    </w:p>
    <w:p w14:paraId="2FAF691A" w14:textId="775FD43F" w:rsidR="00422B0F" w:rsidRPr="00D636AC" w:rsidRDefault="00422B0F" w:rsidP="00D636AC">
      <w:pPr>
        <w:pStyle w:val="NormalWeb"/>
        <w:spacing w:line="360" w:lineRule="auto"/>
        <w:contextualSpacing/>
        <w:jc w:val="both"/>
        <w:rPr>
          <w:rFonts w:asciiTheme="majorBidi" w:hAnsiTheme="majorBidi" w:cstheme="majorBidi"/>
        </w:rPr>
      </w:pPr>
    </w:p>
    <w:p w14:paraId="325E71DE" w14:textId="39DBF12C" w:rsidR="00422B0F" w:rsidRPr="00D636AC" w:rsidRDefault="00422B0F" w:rsidP="00D636AC">
      <w:pPr>
        <w:pStyle w:val="NormalWeb"/>
        <w:spacing w:line="360" w:lineRule="auto"/>
        <w:contextualSpacing/>
        <w:jc w:val="both"/>
        <w:rPr>
          <w:rFonts w:asciiTheme="majorBidi" w:hAnsiTheme="majorBidi" w:cstheme="majorBidi"/>
          <w:b/>
          <w:lang w:eastAsia="zh-CN"/>
        </w:rPr>
      </w:pPr>
      <w:r w:rsidRPr="00D636AC">
        <w:rPr>
          <w:rFonts w:asciiTheme="majorBidi" w:hAnsiTheme="majorBidi" w:cstheme="majorBidi"/>
          <w:b/>
          <w:lang w:eastAsia="zh-CN"/>
        </w:rPr>
        <w:t xml:space="preserve">Data folders: 3D </w:t>
      </w:r>
      <w:proofErr w:type="spellStart"/>
      <w:r w:rsidRPr="00D636AC">
        <w:rPr>
          <w:rFonts w:asciiTheme="majorBidi" w:hAnsiTheme="majorBidi" w:cstheme="majorBidi"/>
          <w:b/>
          <w:lang w:eastAsia="zh-CN"/>
        </w:rPr>
        <w:t>Ti</w:t>
      </w:r>
      <w:proofErr w:type="spellEnd"/>
      <w:r w:rsidRPr="00D636AC">
        <w:rPr>
          <w:rFonts w:asciiTheme="majorBidi" w:hAnsiTheme="majorBidi" w:cstheme="majorBidi"/>
          <w:b/>
          <w:lang w:eastAsia="zh-CN"/>
        </w:rPr>
        <w:t xml:space="preserve"> lattices</w:t>
      </w:r>
    </w:p>
    <w:p w14:paraId="45BFEB1E" w14:textId="580654FD" w:rsidR="00422B0F" w:rsidRPr="00D636AC" w:rsidRDefault="001027E7"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Compression test.</w:t>
      </w:r>
      <w:r w:rsidRPr="00D636AC">
        <w:rPr>
          <w:rFonts w:asciiTheme="majorBidi" w:hAnsiTheme="majorBidi" w:cstheme="majorBidi"/>
        </w:rPr>
        <w:t xml:space="preserve"> The compression on the micro lattices was performed at the quasi-static rate 0.001 s−1 in an INSTRON machine, with the deformation history recorded by a JAI camera. Note that the bottom of the micro lattice was a plate when manufactured whilst the top was open.</w:t>
      </w:r>
    </w:p>
    <w:p w14:paraId="05F741FC" w14:textId="79AB0C60" w:rsidR="001027E7" w:rsidRPr="00D636AC" w:rsidRDefault="001027E7" w:rsidP="00D636AC">
      <w:pPr>
        <w:pStyle w:val="NormalWeb"/>
        <w:spacing w:line="360" w:lineRule="auto"/>
        <w:contextualSpacing/>
        <w:jc w:val="both"/>
        <w:rPr>
          <w:rFonts w:asciiTheme="majorBidi" w:hAnsiTheme="majorBidi" w:cstheme="majorBidi"/>
        </w:rPr>
      </w:pPr>
    </w:p>
    <w:p w14:paraId="6BA11D37" w14:textId="0BCDFB86" w:rsidR="002901F4" w:rsidRPr="00D636AC" w:rsidRDefault="001027E7"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6C10A6">
        <w:rPr>
          <w:rFonts w:asciiTheme="majorBidi" w:hAnsiTheme="majorBidi" w:cstheme="majorBidi"/>
          <w:b/>
        </w:rPr>
        <w:t>8</w:t>
      </w:r>
      <w:r w:rsidRPr="00D636AC">
        <w:rPr>
          <w:rFonts w:asciiTheme="majorBidi" w:hAnsiTheme="majorBidi" w:cstheme="majorBidi"/>
          <w:b/>
        </w:rPr>
        <w:t>-a</w:t>
      </w:r>
      <w:r w:rsidR="002901F4" w:rsidRPr="00D636AC">
        <w:rPr>
          <w:rFonts w:asciiTheme="majorBidi" w:hAnsiTheme="majorBidi" w:cstheme="majorBidi"/>
          <w:b/>
        </w:rPr>
        <w:t>&amp;b</w:t>
      </w:r>
      <w:r w:rsidRPr="00D636AC">
        <w:rPr>
          <w:rFonts w:asciiTheme="majorBidi" w:hAnsiTheme="majorBidi" w:cstheme="majorBidi"/>
          <w:b/>
        </w:rPr>
        <w:t>:</w:t>
      </w:r>
      <w:r w:rsidRPr="00D636AC">
        <w:rPr>
          <w:rFonts w:asciiTheme="majorBidi" w:hAnsiTheme="majorBidi" w:cstheme="majorBidi"/>
        </w:rPr>
        <w:t xml:space="preserve"> </w:t>
      </w:r>
      <w:r w:rsidR="002901F4" w:rsidRPr="00D636AC">
        <w:rPr>
          <w:rFonts w:asciiTheme="majorBidi" w:hAnsiTheme="majorBidi" w:cstheme="majorBidi"/>
        </w:rPr>
        <w:t>Young’s modules measurements and SEM images for 3D lattices.</w:t>
      </w:r>
    </w:p>
    <w:p w14:paraId="7E601F3B" w14:textId="6E7299AF" w:rsidR="002901F4" w:rsidRPr="00D636AC" w:rsidRDefault="002901F4"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 xml:space="preserve">Figure </w:t>
      </w:r>
      <w:r w:rsidR="006C10A6">
        <w:rPr>
          <w:rFonts w:asciiTheme="majorBidi" w:hAnsiTheme="majorBidi" w:cstheme="majorBidi"/>
          <w:b/>
        </w:rPr>
        <w:t>8</w:t>
      </w:r>
      <w:r w:rsidRPr="00D636AC">
        <w:rPr>
          <w:rFonts w:asciiTheme="majorBidi" w:hAnsiTheme="majorBidi" w:cstheme="majorBidi"/>
          <w:b/>
        </w:rPr>
        <w:t>-c-e:</w:t>
      </w:r>
      <w:r w:rsidRPr="00D636AC">
        <w:rPr>
          <w:rFonts w:asciiTheme="majorBidi" w:hAnsiTheme="majorBidi" w:cstheme="majorBidi"/>
        </w:rPr>
        <w:t xml:space="preserve"> SEM and IF images of MSCs cultured on 3D </w:t>
      </w:r>
      <w:proofErr w:type="spellStart"/>
      <w:r w:rsidRPr="00D636AC">
        <w:rPr>
          <w:rFonts w:asciiTheme="majorBidi" w:hAnsiTheme="majorBidi" w:cstheme="majorBidi"/>
        </w:rPr>
        <w:t>Ti</w:t>
      </w:r>
      <w:proofErr w:type="spellEnd"/>
      <w:r w:rsidRPr="00D636AC">
        <w:rPr>
          <w:rFonts w:asciiTheme="majorBidi" w:hAnsiTheme="majorBidi" w:cstheme="majorBidi"/>
        </w:rPr>
        <w:t xml:space="preserve"> lattices.</w:t>
      </w:r>
    </w:p>
    <w:p w14:paraId="6C229108" w14:textId="77777777" w:rsidR="002901F4" w:rsidRPr="00D636AC" w:rsidRDefault="002901F4" w:rsidP="00D636AC">
      <w:pPr>
        <w:spacing w:line="360" w:lineRule="auto"/>
        <w:jc w:val="both"/>
        <w:rPr>
          <w:rFonts w:asciiTheme="majorBidi" w:hAnsiTheme="majorBidi" w:cstheme="majorBidi"/>
          <w:sz w:val="24"/>
          <w:szCs w:val="24"/>
        </w:rPr>
      </w:pPr>
      <w:proofErr w:type="spellStart"/>
      <w:r w:rsidRPr="00D636AC">
        <w:rPr>
          <w:rFonts w:asciiTheme="majorBidi" w:hAnsiTheme="majorBidi" w:cstheme="majorBidi"/>
          <w:b/>
          <w:sz w:val="24"/>
          <w:szCs w:val="24"/>
        </w:rPr>
        <w:t>Alamar</w:t>
      </w:r>
      <w:proofErr w:type="spellEnd"/>
      <w:r w:rsidRPr="00D636AC">
        <w:rPr>
          <w:rFonts w:asciiTheme="majorBidi" w:hAnsiTheme="majorBidi" w:cstheme="majorBidi"/>
          <w:b/>
          <w:sz w:val="24"/>
          <w:szCs w:val="24"/>
        </w:rPr>
        <w:t xml:space="preserve"> blue: </w:t>
      </w:r>
      <w:r w:rsidRPr="00D636AC">
        <w:rPr>
          <w:rFonts w:asciiTheme="majorBidi" w:hAnsiTheme="majorBidi" w:cstheme="majorBidi"/>
          <w:sz w:val="24"/>
          <w:szCs w:val="24"/>
        </w:rPr>
        <w:t xml:space="preserve">The </w:t>
      </w:r>
      <w:proofErr w:type="spellStart"/>
      <w:r w:rsidRPr="00D636AC">
        <w:rPr>
          <w:rFonts w:asciiTheme="majorBidi" w:hAnsiTheme="majorBidi" w:cstheme="majorBidi"/>
          <w:sz w:val="24"/>
          <w:szCs w:val="24"/>
        </w:rPr>
        <w:t>alamar</w:t>
      </w:r>
      <w:proofErr w:type="spellEnd"/>
      <w:r w:rsidRPr="00D636AC">
        <w:rPr>
          <w:rFonts w:asciiTheme="majorBidi" w:hAnsiTheme="majorBidi" w:cstheme="majorBidi"/>
          <w:sz w:val="24"/>
          <w:szCs w:val="24"/>
        </w:rPr>
        <w:t xml:space="preserve"> blue solution was mixed 1:10 in DMEM, 900 </w:t>
      </w:r>
      <w:proofErr w:type="spellStart"/>
      <w:r w:rsidRPr="00D636AC">
        <w:rPr>
          <w:rFonts w:asciiTheme="majorBidi" w:hAnsiTheme="majorBidi" w:cstheme="majorBidi"/>
          <w:sz w:val="24"/>
          <w:szCs w:val="24"/>
        </w:rPr>
        <w:t>μl</w:t>
      </w:r>
      <w:proofErr w:type="spellEnd"/>
      <w:r w:rsidRPr="00D636AC">
        <w:rPr>
          <w:rFonts w:asciiTheme="majorBidi" w:hAnsiTheme="majorBidi" w:cstheme="majorBidi"/>
          <w:sz w:val="24"/>
          <w:szCs w:val="24"/>
        </w:rPr>
        <w:t xml:space="preserve"> were added to each scaffold and incubated for 6h (37°C, 5% CO</w:t>
      </w:r>
      <w:r w:rsidRPr="00D636AC">
        <w:rPr>
          <w:rFonts w:asciiTheme="majorBidi" w:hAnsiTheme="majorBidi" w:cstheme="majorBidi"/>
          <w:sz w:val="24"/>
          <w:szCs w:val="24"/>
          <w:vertAlign w:val="subscript"/>
        </w:rPr>
        <w:t>2</w:t>
      </w:r>
      <w:r w:rsidRPr="00D636AC">
        <w:rPr>
          <w:rFonts w:asciiTheme="majorBidi" w:hAnsiTheme="majorBidi" w:cstheme="majorBidi"/>
          <w:sz w:val="24"/>
          <w:szCs w:val="24"/>
        </w:rPr>
        <w:t xml:space="preserve">). The supernatant was transferred to a 96 well plate in triplicate (3 x 200 </w:t>
      </w:r>
      <w:proofErr w:type="spellStart"/>
      <w:r w:rsidRPr="00D636AC">
        <w:rPr>
          <w:rFonts w:asciiTheme="majorBidi" w:hAnsiTheme="majorBidi" w:cstheme="majorBidi"/>
          <w:sz w:val="24"/>
          <w:szCs w:val="24"/>
        </w:rPr>
        <w:t>μl</w:t>
      </w:r>
      <w:proofErr w:type="spellEnd"/>
      <w:r w:rsidRPr="00D636AC">
        <w:rPr>
          <w:rFonts w:asciiTheme="majorBidi" w:hAnsiTheme="majorBidi" w:cstheme="majorBidi"/>
          <w:sz w:val="24"/>
          <w:szCs w:val="24"/>
        </w:rPr>
        <w:t xml:space="preserve">) and analysed using a Thermo- Scientific, </w:t>
      </w:r>
      <w:proofErr w:type="spellStart"/>
      <w:r w:rsidRPr="00D636AC">
        <w:rPr>
          <w:rFonts w:asciiTheme="majorBidi" w:hAnsiTheme="majorBidi" w:cstheme="majorBidi"/>
          <w:sz w:val="24"/>
          <w:szCs w:val="24"/>
        </w:rPr>
        <w:t>Multiskan</w:t>
      </w:r>
      <w:proofErr w:type="spellEnd"/>
      <w:r w:rsidRPr="00D636AC">
        <w:rPr>
          <w:rFonts w:asciiTheme="majorBidi" w:hAnsiTheme="majorBidi" w:cstheme="majorBidi"/>
          <w:sz w:val="24"/>
          <w:szCs w:val="24"/>
        </w:rPr>
        <w:t xml:space="preserve"> FC. Absorbance was analysed at A1= 570 nm and A2 = 600 nm. % reduction was calculated using the following equation;</w:t>
      </w:r>
    </w:p>
    <w:p w14:paraId="0522CE81" w14:textId="77777777" w:rsidR="002901F4" w:rsidRPr="00D636AC" w:rsidRDefault="002901F4" w:rsidP="00D636AC">
      <w:pPr>
        <w:spacing w:line="360" w:lineRule="auto"/>
        <w:jc w:val="both"/>
        <w:rPr>
          <w:rFonts w:asciiTheme="majorBidi" w:hAnsiTheme="majorBidi" w:cstheme="majorBidi"/>
          <w:sz w:val="24"/>
          <w:szCs w:val="24"/>
        </w:rPr>
      </w:pPr>
    </w:p>
    <w:p w14:paraId="2358E23D" w14:textId="77777777" w:rsidR="002901F4" w:rsidRPr="00D636AC" w:rsidRDefault="002901F4" w:rsidP="00D636AC">
      <w:pPr>
        <w:pStyle w:val="BodyText"/>
        <w:rPr>
          <w:rFonts w:asciiTheme="majorBidi" w:hAnsiTheme="majorBidi" w:cstheme="majorBidi"/>
          <w:b/>
          <w:szCs w:val="24"/>
        </w:rPr>
      </w:pPr>
      <m:oMathPara>
        <m:oMath>
          <m:r>
            <m:rPr>
              <m:sty m:val="b"/>
            </m:rPr>
            <w:rPr>
              <w:rFonts w:ascii="Cambria Math" w:hAnsi="Cambria Math" w:cstheme="majorBidi"/>
              <w:szCs w:val="24"/>
            </w:rPr>
            <m:t xml:space="preserve">% </m:t>
          </m:r>
          <m:r>
            <m:rPr>
              <m:sty m:val="bi"/>
            </m:rPr>
            <w:rPr>
              <w:rFonts w:ascii="Cambria Math" w:hAnsi="Cambria Math" w:cstheme="majorBidi"/>
              <w:szCs w:val="24"/>
            </w:rPr>
            <m:t>Reduced</m:t>
          </m:r>
          <m:r>
            <m:rPr>
              <m:sty m:val="b"/>
            </m:rPr>
            <w:rPr>
              <w:rFonts w:ascii="Cambria Math" w:hAnsi="Cambria Math" w:cstheme="majorBidi"/>
              <w:szCs w:val="24"/>
            </w:rPr>
            <m:t xml:space="preserve">= </m:t>
          </m:r>
          <m:f>
            <m:fPr>
              <m:ctrlPr>
                <w:rPr>
                  <w:rFonts w:ascii="Cambria Math" w:hAnsi="Cambria Math" w:cstheme="majorBidi"/>
                  <w:b/>
                  <w:szCs w:val="24"/>
                </w:rPr>
              </m:ctrlPr>
            </m:fPr>
            <m:num>
              <m:r>
                <m:rPr>
                  <m:sty m:val="b"/>
                </m:rPr>
                <w:rPr>
                  <w:rFonts w:ascii="Cambria Math" w:hAnsi="Cambria Math" w:cstheme="majorBidi"/>
                  <w:szCs w:val="24"/>
                </w:rPr>
                <m:t>(</m:t>
              </m:r>
              <m:r>
                <m:rPr>
                  <m:sty m:val="bi"/>
                </m:rPr>
                <w:rPr>
                  <w:rFonts w:ascii="Cambria Math" w:hAnsi="Cambria Math" w:cstheme="majorBidi"/>
                  <w:szCs w:val="24"/>
                </w:rPr>
                <m:t>O</m:t>
              </m:r>
              <m:r>
                <m:rPr>
                  <m:sty m:val="b"/>
                </m:rPr>
                <w:rPr>
                  <w:rFonts w:ascii="Cambria Math" w:hAnsi="Cambria Math" w:cstheme="majorBidi"/>
                  <w:szCs w:val="24"/>
                </w:rPr>
                <m:t xml:space="preserve">2 </m:t>
              </m:r>
              <m:r>
                <m:rPr>
                  <m:sty m:val="bi"/>
                </m:rPr>
                <w:rPr>
                  <w:rFonts w:ascii="Cambria Math" w:hAnsi="Cambria Math" w:cstheme="majorBidi"/>
                  <w:szCs w:val="24"/>
                </w:rPr>
                <m:t>X</m:t>
              </m:r>
              <m:r>
                <m:rPr>
                  <m:sty m:val="b"/>
                </m:rPr>
                <w:rPr>
                  <w:rFonts w:ascii="Cambria Math" w:hAnsi="Cambria Math" w:cstheme="majorBidi"/>
                  <w:szCs w:val="24"/>
                </w:rPr>
                <m:t xml:space="preserve"> </m:t>
              </m:r>
              <m:r>
                <m:rPr>
                  <m:sty m:val="bi"/>
                </m:rPr>
                <w:rPr>
                  <w:rFonts w:ascii="Cambria Math" w:hAnsi="Cambria Math" w:cstheme="majorBidi"/>
                  <w:szCs w:val="24"/>
                </w:rPr>
                <m:t>A</m:t>
              </m:r>
              <m:r>
                <m:rPr>
                  <m:sty m:val="b"/>
                </m:rPr>
                <w:rPr>
                  <w:rFonts w:ascii="Cambria Math" w:hAnsi="Cambria Math" w:cstheme="majorBidi"/>
                  <w:szCs w:val="24"/>
                </w:rPr>
                <m:t>1-</m:t>
              </m:r>
              <m:r>
                <m:rPr>
                  <m:sty m:val="bi"/>
                </m:rPr>
                <w:rPr>
                  <w:rFonts w:ascii="Cambria Math" w:hAnsi="Cambria Math" w:cstheme="majorBidi"/>
                  <w:szCs w:val="24"/>
                </w:rPr>
                <m:t>O</m:t>
              </m:r>
              <m:r>
                <m:rPr>
                  <m:sty m:val="b"/>
                </m:rPr>
                <w:rPr>
                  <w:rFonts w:ascii="Cambria Math" w:hAnsi="Cambria Math" w:cstheme="majorBidi"/>
                  <w:szCs w:val="24"/>
                </w:rPr>
                <m:t>1</m:t>
              </m:r>
              <m:r>
                <m:rPr>
                  <m:sty m:val="bi"/>
                </m:rPr>
                <w:rPr>
                  <w:rFonts w:ascii="Cambria Math" w:hAnsi="Cambria Math" w:cstheme="majorBidi"/>
                  <w:szCs w:val="24"/>
                </w:rPr>
                <m:t>X</m:t>
              </m:r>
              <m:r>
                <m:rPr>
                  <m:sty m:val="b"/>
                </m:rPr>
                <w:rPr>
                  <w:rFonts w:ascii="Cambria Math" w:hAnsi="Cambria Math" w:cstheme="majorBidi"/>
                  <w:szCs w:val="24"/>
                </w:rPr>
                <m:t xml:space="preserve"> </m:t>
              </m:r>
              <m:r>
                <m:rPr>
                  <m:sty m:val="bi"/>
                </m:rPr>
                <w:rPr>
                  <w:rFonts w:ascii="Cambria Math" w:hAnsi="Cambria Math" w:cstheme="majorBidi"/>
                  <w:szCs w:val="24"/>
                </w:rPr>
                <m:t>A</m:t>
              </m:r>
              <m:r>
                <m:rPr>
                  <m:sty m:val="b"/>
                </m:rPr>
                <w:rPr>
                  <w:rFonts w:ascii="Cambria Math" w:hAnsi="Cambria Math" w:cstheme="majorBidi"/>
                  <w:szCs w:val="24"/>
                </w:rPr>
                <m:t>2)</m:t>
              </m:r>
            </m:num>
            <m:den>
              <m:d>
                <m:dPr>
                  <m:ctrlPr>
                    <w:rPr>
                      <w:rFonts w:ascii="Cambria Math" w:hAnsi="Cambria Math" w:cstheme="majorBidi"/>
                      <w:b/>
                      <w:szCs w:val="24"/>
                    </w:rPr>
                  </m:ctrlPr>
                </m:dPr>
                <m:e>
                  <m:r>
                    <m:rPr>
                      <m:sty m:val="bi"/>
                    </m:rPr>
                    <w:rPr>
                      <w:rFonts w:ascii="Cambria Math" w:hAnsi="Cambria Math" w:cstheme="majorBidi"/>
                      <w:szCs w:val="24"/>
                    </w:rPr>
                    <m:t>R</m:t>
                  </m:r>
                  <m:r>
                    <m:rPr>
                      <m:sty m:val="b"/>
                    </m:rPr>
                    <w:rPr>
                      <w:rFonts w:ascii="Cambria Math" w:hAnsi="Cambria Math" w:cstheme="majorBidi"/>
                      <w:szCs w:val="24"/>
                    </w:rPr>
                    <m:t xml:space="preserve">1 </m:t>
                  </m:r>
                  <m:r>
                    <m:rPr>
                      <m:sty m:val="bi"/>
                    </m:rPr>
                    <w:rPr>
                      <w:rFonts w:ascii="Cambria Math" w:hAnsi="Cambria Math" w:cstheme="majorBidi"/>
                      <w:szCs w:val="24"/>
                    </w:rPr>
                    <m:t>X</m:t>
                  </m:r>
                  <m:r>
                    <m:rPr>
                      <m:sty m:val="b"/>
                    </m:rPr>
                    <w:rPr>
                      <w:rFonts w:ascii="Cambria Math" w:hAnsi="Cambria Math" w:cstheme="majorBidi"/>
                      <w:szCs w:val="24"/>
                    </w:rPr>
                    <m:t xml:space="preserve"> </m:t>
                  </m:r>
                  <m:r>
                    <m:rPr>
                      <m:sty m:val="bi"/>
                    </m:rPr>
                    <w:rPr>
                      <w:rFonts w:ascii="Cambria Math" w:hAnsi="Cambria Math" w:cstheme="majorBidi"/>
                      <w:szCs w:val="24"/>
                    </w:rPr>
                    <m:t>N</m:t>
                  </m:r>
                  <m:r>
                    <m:rPr>
                      <m:sty m:val="b"/>
                    </m:rPr>
                    <w:rPr>
                      <w:rFonts w:ascii="Cambria Math" w:hAnsi="Cambria Math" w:cstheme="majorBidi"/>
                      <w:szCs w:val="24"/>
                    </w:rPr>
                    <m:t>2-</m:t>
                  </m:r>
                  <m:r>
                    <m:rPr>
                      <m:sty m:val="bi"/>
                    </m:rPr>
                    <w:rPr>
                      <w:rFonts w:ascii="Cambria Math" w:hAnsi="Cambria Math" w:cstheme="majorBidi"/>
                      <w:szCs w:val="24"/>
                    </w:rPr>
                    <m:t>R</m:t>
                  </m:r>
                  <m:r>
                    <m:rPr>
                      <m:sty m:val="b"/>
                    </m:rPr>
                    <w:rPr>
                      <w:rFonts w:ascii="Cambria Math" w:hAnsi="Cambria Math" w:cstheme="majorBidi"/>
                      <w:szCs w:val="24"/>
                    </w:rPr>
                    <m:t xml:space="preserve">2 </m:t>
                  </m:r>
                  <m:r>
                    <m:rPr>
                      <m:sty m:val="bi"/>
                    </m:rPr>
                    <w:rPr>
                      <w:rFonts w:ascii="Cambria Math" w:hAnsi="Cambria Math" w:cstheme="majorBidi"/>
                      <w:szCs w:val="24"/>
                    </w:rPr>
                    <m:t>X</m:t>
                  </m:r>
                  <m:r>
                    <m:rPr>
                      <m:sty m:val="b"/>
                    </m:rPr>
                    <w:rPr>
                      <w:rFonts w:ascii="Cambria Math" w:hAnsi="Cambria Math" w:cstheme="majorBidi"/>
                      <w:szCs w:val="24"/>
                    </w:rPr>
                    <m:t xml:space="preserve"> </m:t>
                  </m:r>
                  <m:r>
                    <m:rPr>
                      <m:sty m:val="bi"/>
                    </m:rPr>
                    <w:rPr>
                      <w:rFonts w:ascii="Cambria Math" w:hAnsi="Cambria Math" w:cstheme="majorBidi"/>
                      <w:szCs w:val="24"/>
                    </w:rPr>
                    <m:t>N</m:t>
                  </m:r>
                  <m:r>
                    <m:rPr>
                      <m:sty m:val="b"/>
                    </m:rPr>
                    <w:rPr>
                      <w:rFonts w:ascii="Cambria Math" w:hAnsi="Cambria Math" w:cstheme="majorBidi"/>
                      <w:szCs w:val="24"/>
                    </w:rPr>
                    <m:t>1</m:t>
                  </m:r>
                </m:e>
              </m:d>
            </m:den>
          </m:f>
          <m:r>
            <m:rPr>
              <m:sty m:val="b"/>
            </m:rPr>
            <w:rPr>
              <w:rFonts w:ascii="Cambria Math" w:hAnsi="Cambria Math" w:cstheme="majorBidi"/>
              <w:szCs w:val="24"/>
            </w:rPr>
            <m:t xml:space="preserve"> </m:t>
          </m:r>
          <m:r>
            <m:rPr>
              <m:sty m:val="bi"/>
            </m:rPr>
            <w:rPr>
              <w:rFonts w:ascii="Cambria Math" w:hAnsi="Cambria Math" w:cstheme="majorBidi"/>
              <w:szCs w:val="24"/>
            </w:rPr>
            <m:t>X</m:t>
          </m:r>
          <m:r>
            <m:rPr>
              <m:sty m:val="b"/>
            </m:rPr>
            <w:rPr>
              <w:rFonts w:ascii="Cambria Math" w:hAnsi="Cambria Math" w:cstheme="majorBidi"/>
              <w:szCs w:val="24"/>
            </w:rPr>
            <m:t xml:space="preserve"> 100</m:t>
          </m:r>
        </m:oMath>
      </m:oMathPara>
    </w:p>
    <w:p w14:paraId="23EBFA8E" w14:textId="77777777" w:rsidR="002901F4" w:rsidRPr="00D636AC" w:rsidRDefault="002901F4" w:rsidP="00D636AC">
      <w:pPr>
        <w:pStyle w:val="BodyText"/>
        <w:contextualSpacing/>
        <w:rPr>
          <w:rFonts w:asciiTheme="majorBidi" w:hAnsiTheme="majorBidi" w:cstheme="majorBidi"/>
          <w:szCs w:val="24"/>
        </w:rPr>
      </w:pPr>
      <w:r w:rsidRPr="00D636AC">
        <w:rPr>
          <w:rFonts w:asciiTheme="majorBidi" w:hAnsiTheme="majorBidi" w:cstheme="majorBidi"/>
          <w:szCs w:val="24"/>
        </w:rPr>
        <w:t xml:space="preserve">Where: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6FF1FED4" w14:textId="77777777" w:rsidR="002901F4" w:rsidRPr="00D636AC" w:rsidRDefault="002901F4" w:rsidP="00D636AC">
      <w:pPr>
        <w:pStyle w:val="BodyText"/>
        <w:ind w:left="-142" w:firstLine="142"/>
        <w:contextualSpacing/>
        <w:rPr>
          <w:rFonts w:asciiTheme="majorBidi" w:hAnsiTheme="majorBidi" w:cstheme="majorBidi"/>
          <w:szCs w:val="24"/>
        </w:rPr>
      </w:pPr>
      <w:r w:rsidRPr="00D636AC">
        <w:rPr>
          <w:rFonts w:asciiTheme="majorBidi" w:hAnsiTheme="majorBidi" w:cstheme="majorBidi"/>
          <w:szCs w:val="24"/>
        </w:rPr>
        <w:t xml:space="preserve">O1 = molar extinction coefficient (E) of oxidized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(Blue) at 570 nm</w:t>
      </w:r>
      <w:r w:rsidRPr="00D636AC">
        <w:rPr>
          <w:rFonts w:asciiTheme="majorBidi" w:hAnsiTheme="majorBidi" w:cstheme="majorBidi"/>
          <w:szCs w:val="24"/>
        </w:rPr>
        <w:tab/>
      </w:r>
      <w:r w:rsidRPr="00D636AC">
        <w:rPr>
          <w:rFonts w:asciiTheme="majorBidi" w:hAnsiTheme="majorBidi" w:cstheme="majorBidi"/>
          <w:szCs w:val="24"/>
        </w:rPr>
        <w:tab/>
      </w:r>
    </w:p>
    <w:p w14:paraId="2A9F68D3" w14:textId="77777777" w:rsidR="002901F4" w:rsidRPr="00D636AC" w:rsidRDefault="002901F4" w:rsidP="00D636AC">
      <w:pPr>
        <w:pStyle w:val="BodyText"/>
        <w:ind w:left="-142" w:firstLine="142"/>
        <w:contextualSpacing/>
        <w:rPr>
          <w:rFonts w:asciiTheme="majorBidi" w:hAnsiTheme="majorBidi" w:cstheme="majorBidi"/>
          <w:szCs w:val="24"/>
        </w:rPr>
      </w:pPr>
      <w:r w:rsidRPr="00D636AC">
        <w:rPr>
          <w:rFonts w:asciiTheme="majorBidi" w:hAnsiTheme="majorBidi" w:cstheme="majorBidi"/>
          <w:szCs w:val="24"/>
        </w:rPr>
        <w:t xml:space="preserve">O2= E of oxidized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xml:space="preserve">® at 600 nm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4E144C7A" w14:textId="77777777" w:rsidR="002901F4" w:rsidRPr="00D636AC" w:rsidRDefault="002901F4" w:rsidP="00D636AC">
      <w:pPr>
        <w:pStyle w:val="BodyText"/>
        <w:ind w:left="-142" w:firstLine="142"/>
        <w:contextualSpacing/>
        <w:rPr>
          <w:rFonts w:asciiTheme="majorBidi" w:hAnsiTheme="majorBidi" w:cstheme="majorBidi"/>
          <w:szCs w:val="24"/>
        </w:rPr>
      </w:pPr>
      <w:r w:rsidRPr="00D636AC">
        <w:rPr>
          <w:rFonts w:asciiTheme="majorBidi" w:hAnsiTheme="majorBidi" w:cstheme="majorBidi"/>
          <w:szCs w:val="24"/>
        </w:rPr>
        <w:t xml:space="preserve">R1 = absorbance of reduced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xml:space="preserve">® (Red) at 570 nm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2EF7DC80" w14:textId="40851F73" w:rsidR="002901F4" w:rsidRPr="00D636AC" w:rsidRDefault="002901F4" w:rsidP="00D636AC">
      <w:pPr>
        <w:pStyle w:val="BodyText"/>
        <w:ind w:left="-142" w:firstLine="142"/>
        <w:contextualSpacing/>
        <w:rPr>
          <w:rFonts w:asciiTheme="majorBidi" w:hAnsiTheme="majorBidi" w:cstheme="majorBidi"/>
          <w:szCs w:val="24"/>
        </w:rPr>
      </w:pPr>
      <w:r w:rsidRPr="00D636AC">
        <w:rPr>
          <w:rFonts w:asciiTheme="majorBidi" w:hAnsiTheme="majorBidi" w:cstheme="majorBidi"/>
          <w:szCs w:val="24"/>
        </w:rPr>
        <w:t xml:space="preserve">R2= absorbance of reduced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xml:space="preserve">® at 600 nm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75D2D5D7" w14:textId="77777777" w:rsidR="002901F4" w:rsidRPr="00D636AC" w:rsidRDefault="002901F4" w:rsidP="00D636AC">
      <w:pPr>
        <w:pStyle w:val="BodyText"/>
        <w:contextualSpacing/>
        <w:rPr>
          <w:rFonts w:asciiTheme="majorBidi" w:hAnsiTheme="majorBidi" w:cstheme="majorBidi"/>
          <w:szCs w:val="24"/>
        </w:rPr>
      </w:pPr>
      <w:r w:rsidRPr="00D636AC">
        <w:rPr>
          <w:rFonts w:asciiTheme="majorBidi" w:hAnsiTheme="majorBidi" w:cstheme="majorBidi"/>
          <w:szCs w:val="24"/>
        </w:rPr>
        <w:t xml:space="preserve">A1 = absorbance of test wells at 570 nm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346293EA" w14:textId="77777777" w:rsidR="002901F4" w:rsidRPr="00D636AC" w:rsidRDefault="002901F4" w:rsidP="00D636AC">
      <w:pPr>
        <w:pStyle w:val="BodyText"/>
        <w:contextualSpacing/>
        <w:rPr>
          <w:rFonts w:asciiTheme="majorBidi" w:hAnsiTheme="majorBidi" w:cstheme="majorBidi"/>
          <w:szCs w:val="24"/>
        </w:rPr>
      </w:pPr>
      <w:r w:rsidRPr="00D636AC">
        <w:rPr>
          <w:rFonts w:asciiTheme="majorBidi" w:hAnsiTheme="majorBidi" w:cstheme="majorBidi"/>
          <w:szCs w:val="24"/>
        </w:rPr>
        <w:t xml:space="preserve">A2 = absorbance of test wells at 600 nm </w:t>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r w:rsidRPr="00D636AC">
        <w:rPr>
          <w:rFonts w:asciiTheme="majorBidi" w:hAnsiTheme="majorBidi" w:cstheme="majorBidi"/>
          <w:szCs w:val="24"/>
        </w:rPr>
        <w:tab/>
      </w:r>
    </w:p>
    <w:p w14:paraId="0226A774" w14:textId="77777777" w:rsidR="002901F4" w:rsidRPr="00D636AC" w:rsidRDefault="002901F4" w:rsidP="00D636AC">
      <w:pPr>
        <w:pStyle w:val="BodyText"/>
        <w:contextualSpacing/>
        <w:rPr>
          <w:rFonts w:asciiTheme="majorBidi" w:hAnsiTheme="majorBidi" w:cstheme="majorBidi"/>
          <w:szCs w:val="24"/>
        </w:rPr>
      </w:pPr>
      <w:r w:rsidRPr="00D636AC">
        <w:rPr>
          <w:rFonts w:asciiTheme="majorBidi" w:hAnsiTheme="majorBidi" w:cstheme="majorBidi"/>
          <w:szCs w:val="24"/>
        </w:rPr>
        <w:t xml:space="preserve">N1 = absorbance of negative control well (media plus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xml:space="preserve">® but no cells) at 570 nm </w:t>
      </w:r>
      <w:r w:rsidRPr="00D636AC">
        <w:rPr>
          <w:rFonts w:asciiTheme="majorBidi" w:hAnsiTheme="majorBidi" w:cstheme="majorBidi"/>
          <w:szCs w:val="24"/>
        </w:rPr>
        <w:tab/>
      </w:r>
    </w:p>
    <w:p w14:paraId="2B9456A5" w14:textId="2CA99E32" w:rsidR="002901F4" w:rsidRPr="00D636AC" w:rsidRDefault="002901F4" w:rsidP="00D636AC">
      <w:pPr>
        <w:pStyle w:val="BodyText"/>
        <w:contextualSpacing/>
        <w:rPr>
          <w:rFonts w:asciiTheme="majorBidi" w:hAnsiTheme="majorBidi" w:cstheme="majorBidi"/>
          <w:szCs w:val="24"/>
        </w:rPr>
      </w:pPr>
      <w:r w:rsidRPr="00D636AC">
        <w:rPr>
          <w:rFonts w:asciiTheme="majorBidi" w:hAnsiTheme="majorBidi" w:cstheme="majorBidi"/>
          <w:szCs w:val="24"/>
        </w:rPr>
        <w:t xml:space="preserve">N2 = absorbance of negative control well (media plus </w:t>
      </w:r>
      <w:proofErr w:type="spellStart"/>
      <w:r w:rsidRPr="00D636AC">
        <w:rPr>
          <w:rFonts w:asciiTheme="majorBidi" w:hAnsiTheme="majorBidi" w:cstheme="majorBidi"/>
          <w:szCs w:val="24"/>
        </w:rPr>
        <w:t>alamarBlue</w:t>
      </w:r>
      <w:proofErr w:type="spellEnd"/>
      <w:r w:rsidRPr="00D636AC">
        <w:rPr>
          <w:rFonts w:asciiTheme="majorBidi" w:hAnsiTheme="majorBidi" w:cstheme="majorBidi"/>
          <w:szCs w:val="24"/>
        </w:rPr>
        <w:t>® but no cells) at 600 nm</w:t>
      </w:r>
      <w:r w:rsidRPr="00D636AC">
        <w:rPr>
          <w:rFonts w:asciiTheme="majorBidi" w:hAnsiTheme="majorBidi" w:cstheme="majorBidi"/>
          <w:szCs w:val="24"/>
        </w:rPr>
        <w:tab/>
      </w:r>
    </w:p>
    <w:p w14:paraId="037BD865" w14:textId="351852D3" w:rsidR="002901F4" w:rsidRPr="00D636AC" w:rsidRDefault="002901F4"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lastRenderedPageBreak/>
        <w:t xml:space="preserve">Figure 8-f: </w:t>
      </w:r>
      <w:proofErr w:type="spellStart"/>
      <w:r w:rsidRPr="00D636AC">
        <w:rPr>
          <w:rFonts w:asciiTheme="majorBidi" w:hAnsiTheme="majorBidi" w:cstheme="majorBidi"/>
        </w:rPr>
        <w:t>Alamar</w:t>
      </w:r>
      <w:proofErr w:type="spellEnd"/>
      <w:r w:rsidRPr="00D636AC">
        <w:rPr>
          <w:rFonts w:asciiTheme="majorBidi" w:hAnsiTheme="majorBidi" w:cstheme="majorBidi"/>
        </w:rPr>
        <w:t xml:space="preserve"> blue analysis at 14 days of culture indicating that the </w:t>
      </w:r>
      <w:proofErr w:type="spellStart"/>
      <w:r w:rsidRPr="00D636AC">
        <w:rPr>
          <w:rFonts w:asciiTheme="majorBidi" w:hAnsiTheme="majorBidi" w:cstheme="majorBidi"/>
        </w:rPr>
        <w:t>pPEA</w:t>
      </w:r>
      <w:proofErr w:type="spellEnd"/>
      <w:r w:rsidRPr="00D636AC">
        <w:rPr>
          <w:rFonts w:asciiTheme="majorBidi" w:hAnsiTheme="majorBidi" w:cstheme="majorBidi"/>
        </w:rPr>
        <w:t xml:space="preserve"> coating has no detrimental effect on viability in 3D.</w:t>
      </w:r>
    </w:p>
    <w:p w14:paraId="7ED8E736" w14:textId="3D7ECFAD" w:rsidR="002901F4" w:rsidRDefault="002901F4" w:rsidP="00D636AC">
      <w:pPr>
        <w:pStyle w:val="NormalWeb"/>
        <w:spacing w:line="360" w:lineRule="auto"/>
        <w:contextualSpacing/>
        <w:jc w:val="both"/>
        <w:rPr>
          <w:rFonts w:asciiTheme="majorBidi" w:hAnsiTheme="majorBidi" w:cstheme="majorBidi"/>
        </w:rPr>
      </w:pPr>
    </w:p>
    <w:p w14:paraId="44F1F87D" w14:textId="0DFEF965" w:rsidR="006C10A6" w:rsidRDefault="006C10A6" w:rsidP="00D636AC">
      <w:pPr>
        <w:pStyle w:val="NormalWeb"/>
        <w:spacing w:line="360" w:lineRule="auto"/>
        <w:contextualSpacing/>
        <w:jc w:val="both"/>
        <w:rPr>
          <w:rFonts w:asciiTheme="majorBidi" w:hAnsiTheme="majorBidi" w:cstheme="majorBidi"/>
        </w:rPr>
      </w:pPr>
      <w:r w:rsidRPr="006C10A6">
        <w:rPr>
          <w:rFonts w:asciiTheme="majorBidi" w:hAnsiTheme="majorBidi" w:cstheme="majorBidi"/>
          <w:b/>
          <w:bCs/>
        </w:rPr>
        <w:t>Figure 9:</w:t>
      </w:r>
      <w:r>
        <w:rPr>
          <w:rFonts w:asciiTheme="majorBidi" w:hAnsiTheme="majorBidi" w:cstheme="majorBidi"/>
        </w:rPr>
        <w:t xml:space="preserve"> </w:t>
      </w:r>
      <w:r w:rsidRPr="006C10A6">
        <w:rPr>
          <w:rFonts w:asciiTheme="majorBidi" w:hAnsiTheme="majorBidi" w:cstheme="majorBidi"/>
          <w:i/>
          <w:iCs/>
        </w:rPr>
        <w:t>P. aeruginosa</w:t>
      </w:r>
      <w:r>
        <w:rPr>
          <w:rFonts w:asciiTheme="majorBidi" w:hAnsiTheme="majorBidi" w:cstheme="majorBidi"/>
        </w:rPr>
        <w:t xml:space="preserve"> culture on 3D </w:t>
      </w:r>
      <w:proofErr w:type="spellStart"/>
      <w:r>
        <w:rPr>
          <w:rFonts w:asciiTheme="majorBidi" w:hAnsiTheme="majorBidi" w:cstheme="majorBidi"/>
        </w:rPr>
        <w:t>Ti</w:t>
      </w:r>
      <w:proofErr w:type="spellEnd"/>
      <w:r>
        <w:rPr>
          <w:rFonts w:asciiTheme="majorBidi" w:hAnsiTheme="majorBidi" w:cstheme="majorBidi"/>
        </w:rPr>
        <w:t xml:space="preserve"> lattices.</w:t>
      </w:r>
    </w:p>
    <w:p w14:paraId="2DB0C4F8" w14:textId="77777777" w:rsidR="006C10A6" w:rsidRPr="00D636AC" w:rsidRDefault="006C10A6" w:rsidP="00D636AC">
      <w:pPr>
        <w:pStyle w:val="NormalWeb"/>
        <w:spacing w:line="360" w:lineRule="auto"/>
        <w:contextualSpacing/>
        <w:jc w:val="both"/>
        <w:rPr>
          <w:rFonts w:asciiTheme="majorBidi" w:hAnsiTheme="majorBidi" w:cstheme="majorBidi"/>
        </w:rPr>
      </w:pPr>
    </w:p>
    <w:p w14:paraId="2A6AB5B3" w14:textId="6AEE1BA7" w:rsidR="002901F4" w:rsidRPr="00D636AC" w:rsidRDefault="002901F4" w:rsidP="00D636AC">
      <w:pPr>
        <w:pStyle w:val="NormalWeb"/>
        <w:spacing w:line="360" w:lineRule="auto"/>
        <w:contextualSpacing/>
        <w:jc w:val="both"/>
        <w:rPr>
          <w:rFonts w:asciiTheme="majorBidi" w:hAnsiTheme="majorBidi" w:cstheme="majorBidi"/>
        </w:rPr>
      </w:pPr>
      <w:r w:rsidRPr="00D636AC">
        <w:rPr>
          <w:rFonts w:asciiTheme="majorBidi" w:hAnsiTheme="majorBidi" w:cstheme="majorBidi"/>
          <w:b/>
        </w:rPr>
        <w:t>Statistical Analysis.</w:t>
      </w:r>
      <w:r w:rsidRPr="00D636AC">
        <w:rPr>
          <w:rFonts w:asciiTheme="majorBidi" w:hAnsiTheme="majorBidi" w:cstheme="majorBidi"/>
        </w:rPr>
        <w:t xml:space="preserve"> </w:t>
      </w:r>
      <w:r w:rsidR="006B6F56" w:rsidRPr="00D636AC">
        <w:rPr>
          <w:rFonts w:asciiTheme="majorBidi" w:hAnsiTheme="majorBidi" w:cstheme="majorBidi"/>
        </w:rPr>
        <w:t>All experimental results were interpolated and analysed using GraphPad Prism (GraphPad Software Inc.). Means and standard deviations were calculated, and data were analysed by t test, one- or two-way analysis of variance (ANOVA) test with Tukey’s or Dunnett's multiple comparison post-test. All results are shown in mean ± standard deviation with 95%, 99%, and 99.9% of accuracy (* P ≤ 0.5, ** P ≤ 0.01, *** P ≤ 0.001, **** P ≤ 0.0001). Replicate details for each experiment are shown in Table 2.</w:t>
      </w:r>
    </w:p>
    <w:p w14:paraId="01C9DE69" w14:textId="77777777" w:rsidR="002901F4" w:rsidRPr="00D636AC" w:rsidRDefault="002901F4" w:rsidP="00D636AC">
      <w:pPr>
        <w:pStyle w:val="NormalWeb"/>
        <w:spacing w:line="360" w:lineRule="auto"/>
        <w:contextualSpacing/>
        <w:jc w:val="both"/>
        <w:rPr>
          <w:rFonts w:asciiTheme="majorBidi" w:hAnsiTheme="majorBidi" w:cstheme="majorBidi"/>
        </w:rPr>
      </w:pPr>
    </w:p>
    <w:p w14:paraId="23CC3964" w14:textId="77777777" w:rsidR="002901F4" w:rsidRPr="00D636AC" w:rsidRDefault="002901F4" w:rsidP="00D636AC">
      <w:pPr>
        <w:pStyle w:val="NormalWeb"/>
        <w:spacing w:line="360" w:lineRule="auto"/>
        <w:contextualSpacing/>
        <w:jc w:val="both"/>
        <w:rPr>
          <w:rFonts w:asciiTheme="majorBidi" w:hAnsiTheme="majorBidi" w:cstheme="majorBidi"/>
          <w:b/>
        </w:rPr>
      </w:pPr>
      <w:r w:rsidRPr="00D636AC">
        <w:rPr>
          <w:rFonts w:asciiTheme="majorBidi" w:hAnsiTheme="majorBidi" w:cstheme="majorBidi"/>
          <w:b/>
        </w:rPr>
        <w:t>Table 2: Details of sample replicates and statistical tests used in figures</w:t>
      </w:r>
    </w:p>
    <w:tbl>
      <w:tblPr>
        <w:tblStyle w:val="PlainTable4"/>
        <w:tblW w:w="0" w:type="auto"/>
        <w:jc w:val="center"/>
        <w:tblLook w:val="04A0" w:firstRow="1" w:lastRow="0" w:firstColumn="1" w:lastColumn="0" w:noHBand="0" w:noVBand="1"/>
      </w:tblPr>
      <w:tblGrid>
        <w:gridCol w:w="1206"/>
        <w:gridCol w:w="1194"/>
        <w:gridCol w:w="1590"/>
        <w:gridCol w:w="1268"/>
        <w:gridCol w:w="1220"/>
        <w:gridCol w:w="1274"/>
        <w:gridCol w:w="1268"/>
      </w:tblGrid>
      <w:tr w:rsidR="00D636AC" w:rsidRPr="00F3559B" w14:paraId="7DCD840C" w14:textId="77777777" w:rsidTr="00272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tcBorders>
              <w:top w:val="single" w:sz="4" w:space="0" w:color="auto"/>
              <w:bottom w:val="single" w:sz="4" w:space="0" w:color="auto"/>
            </w:tcBorders>
            <w:shd w:val="clear" w:color="auto" w:fill="auto"/>
          </w:tcPr>
          <w:p w14:paraId="41088D93" w14:textId="77777777" w:rsidR="00D636AC" w:rsidRPr="00F3559B" w:rsidRDefault="00D636AC" w:rsidP="0027211A">
            <w:pPr>
              <w:pStyle w:val="NormalWeb"/>
              <w:spacing w:line="480" w:lineRule="auto"/>
              <w:contextualSpacing/>
              <w:jc w:val="both"/>
              <w:rPr>
                <w:rFonts w:asciiTheme="majorBidi" w:hAnsiTheme="majorBidi" w:cstheme="majorBidi"/>
              </w:rPr>
            </w:pPr>
            <w:r w:rsidRPr="00F3559B">
              <w:rPr>
                <w:rFonts w:asciiTheme="majorBidi" w:hAnsiTheme="majorBidi" w:cstheme="majorBidi"/>
              </w:rPr>
              <w:t>Figure</w:t>
            </w:r>
          </w:p>
        </w:tc>
        <w:tc>
          <w:tcPr>
            <w:tcW w:w="1194" w:type="dxa"/>
            <w:tcBorders>
              <w:top w:val="single" w:sz="4" w:space="0" w:color="auto"/>
              <w:bottom w:val="single" w:sz="4" w:space="0" w:color="auto"/>
            </w:tcBorders>
            <w:shd w:val="clear" w:color="auto" w:fill="auto"/>
          </w:tcPr>
          <w:p w14:paraId="002C1E5E"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Sub figure</w:t>
            </w:r>
          </w:p>
        </w:tc>
        <w:tc>
          <w:tcPr>
            <w:tcW w:w="1590" w:type="dxa"/>
            <w:tcBorders>
              <w:top w:val="single" w:sz="4" w:space="0" w:color="auto"/>
              <w:bottom w:val="single" w:sz="4" w:space="0" w:color="auto"/>
            </w:tcBorders>
            <w:shd w:val="clear" w:color="auto" w:fill="auto"/>
          </w:tcPr>
          <w:p w14:paraId="3795A715"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Name</w:t>
            </w:r>
          </w:p>
        </w:tc>
        <w:tc>
          <w:tcPr>
            <w:tcW w:w="1268" w:type="dxa"/>
            <w:tcBorders>
              <w:top w:val="single" w:sz="4" w:space="0" w:color="auto"/>
              <w:bottom w:val="single" w:sz="4" w:space="0" w:color="auto"/>
            </w:tcBorders>
            <w:shd w:val="clear" w:color="auto" w:fill="auto"/>
          </w:tcPr>
          <w:p w14:paraId="0337AD8C"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Statistical analysis</w:t>
            </w:r>
          </w:p>
        </w:tc>
        <w:tc>
          <w:tcPr>
            <w:tcW w:w="1220" w:type="dxa"/>
            <w:tcBorders>
              <w:top w:val="single" w:sz="4" w:space="0" w:color="auto"/>
              <w:bottom w:val="single" w:sz="4" w:space="0" w:color="auto"/>
            </w:tcBorders>
            <w:shd w:val="clear" w:color="auto" w:fill="auto"/>
          </w:tcPr>
          <w:p w14:paraId="0A09785A"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Donors</w:t>
            </w:r>
          </w:p>
        </w:tc>
        <w:tc>
          <w:tcPr>
            <w:tcW w:w="1274" w:type="dxa"/>
            <w:tcBorders>
              <w:top w:val="single" w:sz="4" w:space="0" w:color="auto"/>
              <w:bottom w:val="single" w:sz="4" w:space="0" w:color="auto"/>
            </w:tcBorders>
            <w:shd w:val="clear" w:color="auto" w:fill="auto"/>
          </w:tcPr>
          <w:p w14:paraId="285AD9C9"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Material replicates</w:t>
            </w:r>
          </w:p>
        </w:tc>
        <w:tc>
          <w:tcPr>
            <w:tcW w:w="1268" w:type="dxa"/>
            <w:tcBorders>
              <w:top w:val="single" w:sz="4" w:space="0" w:color="auto"/>
              <w:bottom w:val="single" w:sz="4" w:space="0" w:color="auto"/>
            </w:tcBorders>
            <w:shd w:val="clear" w:color="auto" w:fill="auto"/>
          </w:tcPr>
          <w:p w14:paraId="4061AA42" w14:textId="77777777" w:rsidR="00D636AC" w:rsidRPr="00F3559B" w:rsidRDefault="00D636AC" w:rsidP="0027211A">
            <w:pPr>
              <w:pStyle w:val="NormalWeb"/>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Technical replicates</w:t>
            </w:r>
          </w:p>
        </w:tc>
      </w:tr>
      <w:tr w:rsidR="00D636AC" w:rsidRPr="00F3559B" w14:paraId="29C25FFC"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tcBorders>
              <w:top w:val="single" w:sz="4" w:space="0" w:color="auto"/>
            </w:tcBorders>
            <w:shd w:val="clear" w:color="auto" w:fill="auto"/>
          </w:tcPr>
          <w:p w14:paraId="504FAF41"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1</w:t>
            </w:r>
          </w:p>
        </w:tc>
        <w:tc>
          <w:tcPr>
            <w:tcW w:w="1194" w:type="dxa"/>
            <w:tcBorders>
              <w:top w:val="single" w:sz="4" w:space="0" w:color="auto"/>
            </w:tcBorders>
            <w:shd w:val="clear" w:color="auto" w:fill="auto"/>
          </w:tcPr>
          <w:p w14:paraId="1C0323DC"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w:t>
            </w:r>
          </w:p>
        </w:tc>
        <w:tc>
          <w:tcPr>
            <w:tcW w:w="1590" w:type="dxa"/>
            <w:tcBorders>
              <w:top w:val="single" w:sz="4" w:space="0" w:color="auto"/>
            </w:tcBorders>
            <w:shd w:val="clear" w:color="auto" w:fill="auto"/>
          </w:tcPr>
          <w:p w14:paraId="3F83813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AFM (Ra)</w:t>
            </w:r>
          </w:p>
        </w:tc>
        <w:tc>
          <w:tcPr>
            <w:tcW w:w="1268" w:type="dxa"/>
            <w:tcBorders>
              <w:top w:val="single" w:sz="4" w:space="0" w:color="auto"/>
            </w:tcBorders>
            <w:shd w:val="clear" w:color="auto" w:fill="auto"/>
          </w:tcPr>
          <w:p w14:paraId="33001F93"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20" w:type="dxa"/>
            <w:tcBorders>
              <w:top w:val="single" w:sz="4" w:space="0" w:color="auto"/>
            </w:tcBorders>
            <w:shd w:val="clear" w:color="auto" w:fill="auto"/>
          </w:tcPr>
          <w:p w14:paraId="26C81E06"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tcBorders>
              <w:top w:val="single" w:sz="4" w:space="0" w:color="auto"/>
            </w:tcBorders>
            <w:shd w:val="clear" w:color="auto" w:fill="auto"/>
          </w:tcPr>
          <w:p w14:paraId="66349AED"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tcBorders>
              <w:top w:val="single" w:sz="4" w:space="0" w:color="auto"/>
            </w:tcBorders>
            <w:shd w:val="clear" w:color="auto" w:fill="auto"/>
          </w:tcPr>
          <w:p w14:paraId="0B2872A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w:t>
            </w:r>
          </w:p>
        </w:tc>
      </w:tr>
      <w:tr w:rsidR="00D636AC" w:rsidRPr="00F3559B" w14:paraId="418D2547"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20E903B1"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1</w:t>
            </w:r>
          </w:p>
        </w:tc>
        <w:tc>
          <w:tcPr>
            <w:tcW w:w="1194" w:type="dxa"/>
            <w:shd w:val="clear" w:color="auto" w:fill="auto"/>
          </w:tcPr>
          <w:p w14:paraId="263F592C"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d</w:t>
            </w:r>
          </w:p>
        </w:tc>
        <w:tc>
          <w:tcPr>
            <w:tcW w:w="1590" w:type="dxa"/>
            <w:shd w:val="clear" w:color="auto" w:fill="auto"/>
          </w:tcPr>
          <w:p w14:paraId="674CA57A"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WCA</w:t>
            </w:r>
          </w:p>
        </w:tc>
        <w:tc>
          <w:tcPr>
            <w:tcW w:w="1268" w:type="dxa"/>
            <w:shd w:val="clear" w:color="auto" w:fill="auto"/>
          </w:tcPr>
          <w:p w14:paraId="027537E1"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20" w:type="dxa"/>
            <w:shd w:val="clear" w:color="auto" w:fill="auto"/>
          </w:tcPr>
          <w:p w14:paraId="65ED5E32"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5E438B7E"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604B3DC2"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w:t>
            </w:r>
          </w:p>
        </w:tc>
      </w:tr>
      <w:tr w:rsidR="00D636AC" w:rsidRPr="00F3559B" w14:paraId="2F3B770C"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5EDBDA8D"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2</w:t>
            </w:r>
          </w:p>
        </w:tc>
        <w:tc>
          <w:tcPr>
            <w:tcW w:w="1194" w:type="dxa"/>
            <w:shd w:val="clear" w:color="auto" w:fill="auto"/>
          </w:tcPr>
          <w:p w14:paraId="335C312F"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 b</w:t>
            </w:r>
          </w:p>
        </w:tc>
        <w:tc>
          <w:tcPr>
            <w:tcW w:w="1590" w:type="dxa"/>
            <w:shd w:val="clear" w:color="auto" w:fill="auto"/>
          </w:tcPr>
          <w:p w14:paraId="72D7A95E"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qPCR</w:t>
            </w:r>
          </w:p>
        </w:tc>
        <w:tc>
          <w:tcPr>
            <w:tcW w:w="1268" w:type="dxa"/>
            <w:shd w:val="clear" w:color="auto" w:fill="auto"/>
          </w:tcPr>
          <w:p w14:paraId="56897E6C"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73C3D810"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3B44CE0E"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59A1CCD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w:t>
            </w:r>
          </w:p>
        </w:tc>
      </w:tr>
      <w:tr w:rsidR="00D636AC" w:rsidRPr="00F3559B" w14:paraId="62FEB11E"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1752CA46"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2</w:t>
            </w:r>
          </w:p>
        </w:tc>
        <w:tc>
          <w:tcPr>
            <w:tcW w:w="1194" w:type="dxa"/>
            <w:shd w:val="clear" w:color="auto" w:fill="auto"/>
          </w:tcPr>
          <w:p w14:paraId="5E269AC5"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d</w:t>
            </w:r>
          </w:p>
        </w:tc>
        <w:tc>
          <w:tcPr>
            <w:tcW w:w="1590" w:type="dxa"/>
            <w:shd w:val="clear" w:color="auto" w:fill="auto"/>
          </w:tcPr>
          <w:p w14:paraId="0A0C7261"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F3559B">
              <w:rPr>
                <w:rFonts w:asciiTheme="majorBidi" w:hAnsiTheme="majorBidi" w:cstheme="majorBidi"/>
              </w:rPr>
              <w:t>Calcein</w:t>
            </w:r>
            <w:proofErr w:type="spellEnd"/>
            <w:r w:rsidRPr="00F3559B">
              <w:rPr>
                <w:rFonts w:asciiTheme="majorBidi" w:hAnsiTheme="majorBidi" w:cstheme="majorBidi"/>
              </w:rPr>
              <w:t xml:space="preserve"> Blue</w:t>
            </w:r>
          </w:p>
        </w:tc>
        <w:tc>
          <w:tcPr>
            <w:tcW w:w="1268" w:type="dxa"/>
            <w:shd w:val="clear" w:color="auto" w:fill="auto"/>
          </w:tcPr>
          <w:p w14:paraId="1A8C9B8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T-test</w:t>
            </w:r>
          </w:p>
        </w:tc>
        <w:tc>
          <w:tcPr>
            <w:tcW w:w="1220" w:type="dxa"/>
            <w:shd w:val="clear" w:color="auto" w:fill="auto"/>
          </w:tcPr>
          <w:p w14:paraId="1F383F6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4BE5EBD9"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4E95C6F6"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15</w:t>
            </w:r>
          </w:p>
        </w:tc>
      </w:tr>
      <w:tr w:rsidR="00D636AC" w:rsidRPr="00F3559B" w14:paraId="07B51C9D"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5FDDBF5C"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3</w:t>
            </w:r>
          </w:p>
        </w:tc>
        <w:tc>
          <w:tcPr>
            <w:tcW w:w="1194" w:type="dxa"/>
            <w:shd w:val="clear" w:color="auto" w:fill="auto"/>
          </w:tcPr>
          <w:p w14:paraId="5903291A"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b</w:t>
            </w:r>
          </w:p>
        </w:tc>
        <w:tc>
          <w:tcPr>
            <w:tcW w:w="1590" w:type="dxa"/>
            <w:shd w:val="clear" w:color="auto" w:fill="auto"/>
          </w:tcPr>
          <w:p w14:paraId="694CADDF"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ELISA</w:t>
            </w:r>
          </w:p>
        </w:tc>
        <w:tc>
          <w:tcPr>
            <w:tcW w:w="1268" w:type="dxa"/>
            <w:shd w:val="clear" w:color="auto" w:fill="auto"/>
          </w:tcPr>
          <w:p w14:paraId="3DB745A3"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3AF7613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3F5892FB"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68" w:type="dxa"/>
            <w:shd w:val="clear" w:color="auto" w:fill="auto"/>
          </w:tcPr>
          <w:p w14:paraId="440B7C8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767E374E"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4A177725"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3</w:t>
            </w:r>
          </w:p>
        </w:tc>
        <w:tc>
          <w:tcPr>
            <w:tcW w:w="1194" w:type="dxa"/>
            <w:shd w:val="clear" w:color="auto" w:fill="auto"/>
          </w:tcPr>
          <w:p w14:paraId="0142A48E"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f</w:t>
            </w:r>
          </w:p>
        </w:tc>
        <w:tc>
          <w:tcPr>
            <w:tcW w:w="1590" w:type="dxa"/>
            <w:shd w:val="clear" w:color="auto" w:fill="auto"/>
          </w:tcPr>
          <w:p w14:paraId="74AF9474"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Coating thickness</w:t>
            </w:r>
          </w:p>
        </w:tc>
        <w:tc>
          <w:tcPr>
            <w:tcW w:w="1268" w:type="dxa"/>
            <w:shd w:val="clear" w:color="auto" w:fill="auto"/>
          </w:tcPr>
          <w:p w14:paraId="0EDF212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2108841B"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5EC0C198"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23CFD07E"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3F0E035B"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631C9AC1"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3</w:t>
            </w:r>
          </w:p>
        </w:tc>
        <w:tc>
          <w:tcPr>
            <w:tcW w:w="1194" w:type="dxa"/>
            <w:shd w:val="clear" w:color="auto" w:fill="auto"/>
          </w:tcPr>
          <w:p w14:paraId="5B69BBD9"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g</w:t>
            </w:r>
          </w:p>
        </w:tc>
        <w:tc>
          <w:tcPr>
            <w:tcW w:w="1590" w:type="dxa"/>
            <w:shd w:val="clear" w:color="auto" w:fill="auto"/>
          </w:tcPr>
          <w:p w14:paraId="0258569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ELISA</w:t>
            </w:r>
          </w:p>
        </w:tc>
        <w:tc>
          <w:tcPr>
            <w:tcW w:w="1268" w:type="dxa"/>
            <w:shd w:val="clear" w:color="auto" w:fill="auto"/>
          </w:tcPr>
          <w:p w14:paraId="11FEA1C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7090BDE9"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7BD27F1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68" w:type="dxa"/>
            <w:shd w:val="clear" w:color="auto" w:fill="auto"/>
          </w:tcPr>
          <w:p w14:paraId="5562817A"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2,3</w:t>
            </w:r>
          </w:p>
        </w:tc>
      </w:tr>
      <w:tr w:rsidR="00D636AC" w:rsidRPr="00F3559B" w14:paraId="6ABBA646"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17A39254"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4</w:t>
            </w:r>
          </w:p>
        </w:tc>
        <w:tc>
          <w:tcPr>
            <w:tcW w:w="1194" w:type="dxa"/>
            <w:shd w:val="clear" w:color="auto" w:fill="auto"/>
          </w:tcPr>
          <w:p w14:paraId="793152F0"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b</w:t>
            </w:r>
          </w:p>
        </w:tc>
        <w:tc>
          <w:tcPr>
            <w:tcW w:w="1590" w:type="dxa"/>
            <w:shd w:val="clear" w:color="auto" w:fill="auto"/>
          </w:tcPr>
          <w:p w14:paraId="7447CAC1"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Live/Dead bacteria</w:t>
            </w:r>
          </w:p>
        </w:tc>
        <w:tc>
          <w:tcPr>
            <w:tcW w:w="1268" w:type="dxa"/>
            <w:shd w:val="clear" w:color="auto" w:fill="auto"/>
          </w:tcPr>
          <w:p w14:paraId="013A3AD7"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T-test</w:t>
            </w:r>
          </w:p>
        </w:tc>
        <w:tc>
          <w:tcPr>
            <w:tcW w:w="1220" w:type="dxa"/>
            <w:shd w:val="clear" w:color="auto" w:fill="auto"/>
          </w:tcPr>
          <w:p w14:paraId="31EFECCC"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5C5C2BC5"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68" w:type="dxa"/>
            <w:shd w:val="clear" w:color="auto" w:fill="auto"/>
          </w:tcPr>
          <w:p w14:paraId="57080BDB"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12</w:t>
            </w:r>
          </w:p>
        </w:tc>
      </w:tr>
      <w:tr w:rsidR="00D636AC" w:rsidRPr="00F3559B" w14:paraId="41579FC4"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3BE6C3D7"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lastRenderedPageBreak/>
              <w:t>4</w:t>
            </w:r>
          </w:p>
        </w:tc>
        <w:tc>
          <w:tcPr>
            <w:tcW w:w="1194" w:type="dxa"/>
            <w:shd w:val="clear" w:color="auto" w:fill="auto"/>
          </w:tcPr>
          <w:p w14:paraId="1EF3E4FA"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w:t>
            </w:r>
          </w:p>
        </w:tc>
        <w:tc>
          <w:tcPr>
            <w:tcW w:w="1590" w:type="dxa"/>
            <w:shd w:val="clear" w:color="auto" w:fill="auto"/>
          </w:tcPr>
          <w:p w14:paraId="0DA4047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ATP release</w:t>
            </w:r>
          </w:p>
        </w:tc>
        <w:tc>
          <w:tcPr>
            <w:tcW w:w="1268" w:type="dxa"/>
            <w:shd w:val="clear" w:color="auto" w:fill="auto"/>
          </w:tcPr>
          <w:p w14:paraId="684B30AD"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T-test</w:t>
            </w:r>
          </w:p>
        </w:tc>
        <w:tc>
          <w:tcPr>
            <w:tcW w:w="1220" w:type="dxa"/>
            <w:shd w:val="clear" w:color="auto" w:fill="auto"/>
          </w:tcPr>
          <w:p w14:paraId="27973D9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702243B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6D8C7B00"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r>
      <w:tr w:rsidR="00D636AC" w:rsidRPr="00F3559B" w14:paraId="676696C5"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59990A47"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4</w:t>
            </w:r>
          </w:p>
        </w:tc>
        <w:tc>
          <w:tcPr>
            <w:tcW w:w="1194" w:type="dxa"/>
            <w:shd w:val="clear" w:color="auto" w:fill="auto"/>
          </w:tcPr>
          <w:p w14:paraId="5F2C2B18"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F3559B">
              <w:rPr>
                <w:rFonts w:asciiTheme="majorBidi" w:hAnsiTheme="majorBidi" w:cstheme="majorBidi"/>
              </w:rPr>
              <w:t>d,e</w:t>
            </w:r>
            <w:proofErr w:type="spellEnd"/>
          </w:p>
        </w:tc>
        <w:tc>
          <w:tcPr>
            <w:tcW w:w="1590" w:type="dxa"/>
            <w:shd w:val="clear" w:color="auto" w:fill="auto"/>
          </w:tcPr>
          <w:p w14:paraId="3C7E27B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Metabolomics</w:t>
            </w:r>
          </w:p>
        </w:tc>
        <w:tc>
          <w:tcPr>
            <w:tcW w:w="1268" w:type="dxa"/>
            <w:shd w:val="clear" w:color="auto" w:fill="auto"/>
          </w:tcPr>
          <w:p w14:paraId="4EC74657"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20" w:type="dxa"/>
            <w:shd w:val="clear" w:color="auto" w:fill="auto"/>
          </w:tcPr>
          <w:p w14:paraId="4DE258C9"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7F750769"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47AA32AB"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1DE3C5EC"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65B2FCCC"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5</w:t>
            </w:r>
          </w:p>
        </w:tc>
        <w:tc>
          <w:tcPr>
            <w:tcW w:w="1194" w:type="dxa"/>
            <w:shd w:val="clear" w:color="auto" w:fill="auto"/>
          </w:tcPr>
          <w:p w14:paraId="1E991A4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F3559B">
              <w:rPr>
                <w:rFonts w:asciiTheme="majorBidi" w:hAnsiTheme="majorBidi" w:cstheme="majorBidi"/>
              </w:rPr>
              <w:t>e,f</w:t>
            </w:r>
            <w:proofErr w:type="spellEnd"/>
          </w:p>
        </w:tc>
        <w:tc>
          <w:tcPr>
            <w:tcW w:w="1590" w:type="dxa"/>
            <w:shd w:val="clear" w:color="auto" w:fill="auto"/>
          </w:tcPr>
          <w:p w14:paraId="72917BB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Co-culture</w:t>
            </w:r>
          </w:p>
        </w:tc>
        <w:tc>
          <w:tcPr>
            <w:tcW w:w="1268" w:type="dxa"/>
            <w:shd w:val="clear" w:color="auto" w:fill="auto"/>
          </w:tcPr>
          <w:p w14:paraId="5244139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T-test</w:t>
            </w:r>
          </w:p>
        </w:tc>
        <w:tc>
          <w:tcPr>
            <w:tcW w:w="1220" w:type="dxa"/>
            <w:shd w:val="clear" w:color="auto" w:fill="auto"/>
          </w:tcPr>
          <w:p w14:paraId="18B0684A"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w:t>
            </w:r>
          </w:p>
        </w:tc>
        <w:tc>
          <w:tcPr>
            <w:tcW w:w="1274" w:type="dxa"/>
            <w:shd w:val="clear" w:color="auto" w:fill="auto"/>
          </w:tcPr>
          <w:p w14:paraId="429DAFF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68" w:type="dxa"/>
            <w:shd w:val="clear" w:color="auto" w:fill="auto"/>
          </w:tcPr>
          <w:p w14:paraId="36741203"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17,23</w:t>
            </w:r>
          </w:p>
        </w:tc>
      </w:tr>
      <w:tr w:rsidR="00D636AC" w:rsidRPr="00F3559B" w14:paraId="565265E3"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462CB77D"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6</w:t>
            </w:r>
          </w:p>
        </w:tc>
        <w:tc>
          <w:tcPr>
            <w:tcW w:w="1194" w:type="dxa"/>
            <w:shd w:val="clear" w:color="auto" w:fill="auto"/>
          </w:tcPr>
          <w:p w14:paraId="3C881E90"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w:t>
            </w:r>
          </w:p>
        </w:tc>
        <w:tc>
          <w:tcPr>
            <w:tcW w:w="1590" w:type="dxa"/>
            <w:shd w:val="clear" w:color="auto" w:fill="auto"/>
          </w:tcPr>
          <w:p w14:paraId="4D094038"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 xml:space="preserve">Apoptosis (on </w:t>
            </w:r>
            <w:proofErr w:type="spellStart"/>
            <w:r w:rsidRPr="00F3559B">
              <w:rPr>
                <w:rFonts w:asciiTheme="majorBidi" w:hAnsiTheme="majorBidi" w:cstheme="majorBidi"/>
              </w:rPr>
              <w:t>Ti</w:t>
            </w:r>
            <w:proofErr w:type="spellEnd"/>
            <w:r w:rsidRPr="00F3559B">
              <w:rPr>
                <w:rFonts w:asciiTheme="majorBidi" w:hAnsiTheme="majorBidi" w:cstheme="majorBidi"/>
              </w:rPr>
              <w:t>)</w:t>
            </w:r>
          </w:p>
        </w:tc>
        <w:tc>
          <w:tcPr>
            <w:tcW w:w="1268" w:type="dxa"/>
            <w:shd w:val="clear" w:color="auto" w:fill="auto"/>
          </w:tcPr>
          <w:p w14:paraId="76F1903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2C376394"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w:t>
            </w:r>
          </w:p>
        </w:tc>
        <w:tc>
          <w:tcPr>
            <w:tcW w:w="1274" w:type="dxa"/>
            <w:shd w:val="clear" w:color="auto" w:fill="auto"/>
          </w:tcPr>
          <w:p w14:paraId="63F40280"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68" w:type="dxa"/>
            <w:shd w:val="clear" w:color="auto" w:fill="auto"/>
          </w:tcPr>
          <w:p w14:paraId="2310CB42"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65D9EDBA"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321B972C"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7</w:t>
            </w:r>
          </w:p>
        </w:tc>
        <w:tc>
          <w:tcPr>
            <w:tcW w:w="1194" w:type="dxa"/>
            <w:shd w:val="clear" w:color="auto" w:fill="auto"/>
          </w:tcPr>
          <w:p w14:paraId="6783476D"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w:t>
            </w:r>
          </w:p>
        </w:tc>
        <w:tc>
          <w:tcPr>
            <w:tcW w:w="1590" w:type="dxa"/>
            <w:shd w:val="clear" w:color="auto" w:fill="auto"/>
          </w:tcPr>
          <w:p w14:paraId="325815A3"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Compression test</w:t>
            </w:r>
          </w:p>
        </w:tc>
        <w:tc>
          <w:tcPr>
            <w:tcW w:w="1268" w:type="dxa"/>
            <w:shd w:val="clear" w:color="auto" w:fill="auto"/>
          </w:tcPr>
          <w:p w14:paraId="7842DD69"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20" w:type="dxa"/>
            <w:shd w:val="clear" w:color="auto" w:fill="auto"/>
          </w:tcPr>
          <w:p w14:paraId="3835051F"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65125964"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2,3</w:t>
            </w:r>
          </w:p>
        </w:tc>
        <w:tc>
          <w:tcPr>
            <w:tcW w:w="1268" w:type="dxa"/>
            <w:shd w:val="clear" w:color="auto" w:fill="auto"/>
          </w:tcPr>
          <w:p w14:paraId="0BFC3716"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247CD393"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7481F540"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7</w:t>
            </w:r>
          </w:p>
        </w:tc>
        <w:tc>
          <w:tcPr>
            <w:tcW w:w="1194" w:type="dxa"/>
            <w:shd w:val="clear" w:color="auto" w:fill="auto"/>
          </w:tcPr>
          <w:p w14:paraId="38AA7BAE"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f</w:t>
            </w:r>
          </w:p>
        </w:tc>
        <w:tc>
          <w:tcPr>
            <w:tcW w:w="1590" w:type="dxa"/>
            <w:shd w:val="clear" w:color="auto" w:fill="auto"/>
          </w:tcPr>
          <w:p w14:paraId="7F579D8C"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F3559B">
              <w:rPr>
                <w:rFonts w:asciiTheme="majorBidi" w:hAnsiTheme="majorBidi" w:cstheme="majorBidi"/>
              </w:rPr>
              <w:t>AlamarBlue</w:t>
            </w:r>
            <w:proofErr w:type="spellEnd"/>
          </w:p>
        </w:tc>
        <w:tc>
          <w:tcPr>
            <w:tcW w:w="1268" w:type="dxa"/>
            <w:shd w:val="clear" w:color="auto" w:fill="auto"/>
          </w:tcPr>
          <w:p w14:paraId="5F43EDCE"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T-test</w:t>
            </w:r>
          </w:p>
        </w:tc>
        <w:tc>
          <w:tcPr>
            <w:tcW w:w="1220" w:type="dxa"/>
            <w:shd w:val="clear" w:color="auto" w:fill="auto"/>
          </w:tcPr>
          <w:p w14:paraId="4C06F20B"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418073A7"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77E19778"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r>
      <w:tr w:rsidR="00D636AC" w:rsidRPr="00F3559B" w14:paraId="7F212127"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63CD8757"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S2</w:t>
            </w:r>
          </w:p>
        </w:tc>
        <w:tc>
          <w:tcPr>
            <w:tcW w:w="1194" w:type="dxa"/>
            <w:shd w:val="clear" w:color="auto" w:fill="auto"/>
          </w:tcPr>
          <w:p w14:paraId="5ECE05BF"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590" w:type="dxa"/>
            <w:shd w:val="clear" w:color="auto" w:fill="auto"/>
          </w:tcPr>
          <w:p w14:paraId="20BF54DE"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Metabolomics</w:t>
            </w:r>
          </w:p>
        </w:tc>
        <w:tc>
          <w:tcPr>
            <w:tcW w:w="1268" w:type="dxa"/>
            <w:shd w:val="clear" w:color="auto" w:fill="auto"/>
          </w:tcPr>
          <w:p w14:paraId="67279260"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20" w:type="dxa"/>
            <w:shd w:val="clear" w:color="auto" w:fill="auto"/>
          </w:tcPr>
          <w:p w14:paraId="742762E2"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w:t>
            </w:r>
          </w:p>
        </w:tc>
        <w:tc>
          <w:tcPr>
            <w:tcW w:w="1274" w:type="dxa"/>
            <w:shd w:val="clear" w:color="auto" w:fill="auto"/>
          </w:tcPr>
          <w:p w14:paraId="26097B87"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54D4B498"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7C73F932"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3501D1A0"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S4</w:t>
            </w:r>
          </w:p>
        </w:tc>
        <w:tc>
          <w:tcPr>
            <w:tcW w:w="1194" w:type="dxa"/>
            <w:shd w:val="clear" w:color="auto" w:fill="auto"/>
          </w:tcPr>
          <w:p w14:paraId="21D3B5BA"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w:t>
            </w:r>
          </w:p>
        </w:tc>
        <w:tc>
          <w:tcPr>
            <w:tcW w:w="1590" w:type="dxa"/>
            <w:shd w:val="clear" w:color="auto" w:fill="auto"/>
          </w:tcPr>
          <w:p w14:paraId="51EF68C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MTT</w:t>
            </w:r>
          </w:p>
        </w:tc>
        <w:tc>
          <w:tcPr>
            <w:tcW w:w="1268" w:type="dxa"/>
            <w:shd w:val="clear" w:color="auto" w:fill="auto"/>
          </w:tcPr>
          <w:p w14:paraId="68945E35"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1EEEFA03"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50FA0800"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2311C9B5"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r>
      <w:tr w:rsidR="00D636AC" w:rsidRPr="00F3559B" w14:paraId="1BFB5117"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082BE835"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S4</w:t>
            </w:r>
          </w:p>
        </w:tc>
        <w:tc>
          <w:tcPr>
            <w:tcW w:w="1194" w:type="dxa"/>
            <w:shd w:val="clear" w:color="auto" w:fill="auto"/>
          </w:tcPr>
          <w:p w14:paraId="1777E23E"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c</w:t>
            </w:r>
          </w:p>
        </w:tc>
        <w:tc>
          <w:tcPr>
            <w:tcW w:w="1590" w:type="dxa"/>
            <w:shd w:val="clear" w:color="auto" w:fill="auto"/>
          </w:tcPr>
          <w:p w14:paraId="6D2F25B5"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Live/dead mammalian cells</w:t>
            </w:r>
          </w:p>
        </w:tc>
        <w:tc>
          <w:tcPr>
            <w:tcW w:w="1268" w:type="dxa"/>
            <w:shd w:val="clear" w:color="auto" w:fill="auto"/>
          </w:tcPr>
          <w:p w14:paraId="44C69201"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10DC16F1"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6668E893"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61AF451D"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12</w:t>
            </w:r>
          </w:p>
        </w:tc>
      </w:tr>
      <w:tr w:rsidR="00D636AC" w:rsidRPr="00F3559B" w14:paraId="7EB168CC" w14:textId="77777777" w:rsidTr="0027211A">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tcPr>
          <w:p w14:paraId="136293E2"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S4</w:t>
            </w:r>
          </w:p>
        </w:tc>
        <w:tc>
          <w:tcPr>
            <w:tcW w:w="1194" w:type="dxa"/>
            <w:shd w:val="clear" w:color="auto" w:fill="auto"/>
          </w:tcPr>
          <w:p w14:paraId="47D0053D"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d</w:t>
            </w:r>
          </w:p>
        </w:tc>
        <w:tc>
          <w:tcPr>
            <w:tcW w:w="1590" w:type="dxa"/>
            <w:shd w:val="clear" w:color="auto" w:fill="auto"/>
          </w:tcPr>
          <w:p w14:paraId="1265E196"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JC-1</w:t>
            </w:r>
          </w:p>
        </w:tc>
        <w:tc>
          <w:tcPr>
            <w:tcW w:w="1268" w:type="dxa"/>
            <w:shd w:val="clear" w:color="auto" w:fill="auto"/>
          </w:tcPr>
          <w:p w14:paraId="698BE499"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shd w:val="clear" w:color="auto" w:fill="auto"/>
          </w:tcPr>
          <w:p w14:paraId="36CDA8C2"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c>
          <w:tcPr>
            <w:tcW w:w="1274" w:type="dxa"/>
            <w:shd w:val="clear" w:color="auto" w:fill="auto"/>
          </w:tcPr>
          <w:p w14:paraId="0ACFF8E4"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shd w:val="clear" w:color="auto" w:fill="auto"/>
          </w:tcPr>
          <w:p w14:paraId="678BF135" w14:textId="77777777" w:rsidR="00D636AC" w:rsidRPr="00F3559B" w:rsidRDefault="00D636AC" w:rsidP="0027211A">
            <w:pPr>
              <w:pStyle w:val="NormalWeb"/>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r w:rsidR="00D636AC" w:rsidRPr="00F3559B" w14:paraId="3ADA2CF5" w14:textId="77777777" w:rsidTr="00272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tcBorders>
              <w:bottom w:val="single" w:sz="4" w:space="0" w:color="auto"/>
            </w:tcBorders>
            <w:shd w:val="clear" w:color="auto" w:fill="auto"/>
          </w:tcPr>
          <w:p w14:paraId="770E658C" w14:textId="77777777" w:rsidR="00D636AC" w:rsidRPr="00F3559B" w:rsidRDefault="00D636AC" w:rsidP="0027211A">
            <w:pPr>
              <w:pStyle w:val="NormalWeb"/>
              <w:spacing w:line="480" w:lineRule="auto"/>
              <w:contextualSpacing/>
              <w:jc w:val="both"/>
              <w:rPr>
                <w:rFonts w:asciiTheme="majorBidi" w:hAnsiTheme="majorBidi" w:cstheme="majorBidi"/>
                <w:b w:val="0"/>
              </w:rPr>
            </w:pPr>
            <w:r w:rsidRPr="00F3559B">
              <w:rPr>
                <w:rFonts w:asciiTheme="majorBidi" w:hAnsiTheme="majorBidi" w:cstheme="majorBidi"/>
                <w:b w:val="0"/>
              </w:rPr>
              <w:t>S5</w:t>
            </w:r>
          </w:p>
        </w:tc>
        <w:tc>
          <w:tcPr>
            <w:tcW w:w="1194" w:type="dxa"/>
            <w:tcBorders>
              <w:bottom w:val="single" w:sz="4" w:space="0" w:color="auto"/>
            </w:tcBorders>
            <w:shd w:val="clear" w:color="auto" w:fill="auto"/>
          </w:tcPr>
          <w:p w14:paraId="7E5AAD68"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b</w:t>
            </w:r>
          </w:p>
        </w:tc>
        <w:tc>
          <w:tcPr>
            <w:tcW w:w="1590" w:type="dxa"/>
            <w:tcBorders>
              <w:bottom w:val="single" w:sz="4" w:space="0" w:color="auto"/>
            </w:tcBorders>
            <w:shd w:val="clear" w:color="auto" w:fill="auto"/>
          </w:tcPr>
          <w:p w14:paraId="77BB713A"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Apoptosis (on glass)</w:t>
            </w:r>
          </w:p>
        </w:tc>
        <w:tc>
          <w:tcPr>
            <w:tcW w:w="1268" w:type="dxa"/>
            <w:tcBorders>
              <w:bottom w:val="single" w:sz="4" w:space="0" w:color="auto"/>
            </w:tcBorders>
            <w:shd w:val="clear" w:color="auto" w:fill="auto"/>
          </w:tcPr>
          <w:p w14:paraId="6CF3C769"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One-way ANOVA</w:t>
            </w:r>
          </w:p>
        </w:tc>
        <w:tc>
          <w:tcPr>
            <w:tcW w:w="1220" w:type="dxa"/>
            <w:tcBorders>
              <w:bottom w:val="single" w:sz="4" w:space="0" w:color="auto"/>
            </w:tcBorders>
            <w:shd w:val="clear" w:color="auto" w:fill="auto"/>
          </w:tcPr>
          <w:p w14:paraId="5F360566"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3</w:t>
            </w:r>
          </w:p>
        </w:tc>
        <w:tc>
          <w:tcPr>
            <w:tcW w:w="1274" w:type="dxa"/>
            <w:tcBorders>
              <w:bottom w:val="single" w:sz="4" w:space="0" w:color="auto"/>
            </w:tcBorders>
            <w:shd w:val="clear" w:color="auto" w:fill="auto"/>
          </w:tcPr>
          <w:p w14:paraId="3679F671"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4</w:t>
            </w:r>
          </w:p>
        </w:tc>
        <w:tc>
          <w:tcPr>
            <w:tcW w:w="1268" w:type="dxa"/>
            <w:tcBorders>
              <w:bottom w:val="single" w:sz="4" w:space="0" w:color="auto"/>
            </w:tcBorders>
            <w:shd w:val="clear" w:color="auto" w:fill="auto"/>
          </w:tcPr>
          <w:p w14:paraId="7FF02576" w14:textId="77777777" w:rsidR="00D636AC" w:rsidRPr="00F3559B" w:rsidRDefault="00D636AC" w:rsidP="0027211A">
            <w:pPr>
              <w:pStyle w:val="NormalWeb"/>
              <w:spacing w:line="48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59B">
              <w:rPr>
                <w:rFonts w:asciiTheme="majorBidi" w:hAnsiTheme="majorBidi" w:cstheme="majorBidi"/>
              </w:rPr>
              <w:t>1</w:t>
            </w:r>
          </w:p>
        </w:tc>
      </w:tr>
    </w:tbl>
    <w:p w14:paraId="6CC27C2E" w14:textId="77777777" w:rsidR="002901F4" w:rsidRPr="00D636AC" w:rsidRDefault="002901F4" w:rsidP="00D636AC">
      <w:pPr>
        <w:pStyle w:val="NormalWeb"/>
        <w:spacing w:line="360" w:lineRule="auto"/>
        <w:contextualSpacing/>
        <w:jc w:val="both"/>
        <w:rPr>
          <w:rFonts w:asciiTheme="majorBidi" w:hAnsiTheme="majorBidi" w:cstheme="majorBidi"/>
        </w:rPr>
      </w:pPr>
    </w:p>
    <w:p w14:paraId="03F8C0DA" w14:textId="77777777" w:rsidR="002901F4" w:rsidRPr="00D636AC" w:rsidRDefault="002901F4" w:rsidP="00D636AC">
      <w:pPr>
        <w:spacing w:before="100" w:beforeAutospacing="1" w:after="100" w:afterAutospacing="1" w:line="360" w:lineRule="auto"/>
        <w:contextualSpacing/>
        <w:jc w:val="both"/>
        <w:rPr>
          <w:rFonts w:asciiTheme="majorBidi" w:hAnsiTheme="majorBidi" w:cstheme="majorBidi"/>
          <w:sz w:val="24"/>
          <w:szCs w:val="24"/>
        </w:rPr>
      </w:pPr>
    </w:p>
    <w:sectPr w:rsidR="002901F4" w:rsidRPr="00D636AC" w:rsidSect="00CF656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F386" w14:textId="77777777" w:rsidR="00FB7921" w:rsidRDefault="00FB7921" w:rsidP="00D31510">
      <w:pPr>
        <w:spacing w:after="0" w:line="240" w:lineRule="auto"/>
      </w:pPr>
      <w:r>
        <w:separator/>
      </w:r>
    </w:p>
  </w:endnote>
  <w:endnote w:type="continuationSeparator" w:id="0">
    <w:p w14:paraId="705C1ADA" w14:textId="77777777" w:rsidR="00FB7921" w:rsidRDefault="00FB7921" w:rsidP="00D3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7569548"/>
      <w:docPartObj>
        <w:docPartGallery w:val="Page Numbers (Bottom of Page)"/>
        <w:docPartUnique/>
      </w:docPartObj>
    </w:sdtPr>
    <w:sdtEndPr>
      <w:rPr>
        <w:rStyle w:val="PageNumber"/>
      </w:rPr>
    </w:sdtEndPr>
    <w:sdtContent>
      <w:p w14:paraId="681AA63D" w14:textId="7EB8EE4C" w:rsidR="00D31510" w:rsidRDefault="00D31510" w:rsidP="00554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16ACB" w14:textId="77777777" w:rsidR="00D31510" w:rsidRDefault="00D31510" w:rsidP="00D31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522901"/>
      <w:docPartObj>
        <w:docPartGallery w:val="Page Numbers (Bottom of Page)"/>
        <w:docPartUnique/>
      </w:docPartObj>
    </w:sdtPr>
    <w:sdtEndPr>
      <w:rPr>
        <w:rStyle w:val="PageNumber"/>
      </w:rPr>
    </w:sdtEndPr>
    <w:sdtContent>
      <w:p w14:paraId="5D973FD3" w14:textId="232384A7" w:rsidR="00D31510" w:rsidRDefault="00D31510" w:rsidP="00554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9B8DB0" w14:textId="77777777" w:rsidR="00D31510" w:rsidRDefault="00D31510" w:rsidP="00D315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DB682" w14:textId="77777777" w:rsidR="00FB7921" w:rsidRDefault="00FB7921" w:rsidP="00D31510">
      <w:pPr>
        <w:spacing w:after="0" w:line="240" w:lineRule="auto"/>
      </w:pPr>
      <w:r>
        <w:separator/>
      </w:r>
    </w:p>
  </w:footnote>
  <w:footnote w:type="continuationSeparator" w:id="0">
    <w:p w14:paraId="4EE3AEAD" w14:textId="77777777" w:rsidR="00FB7921" w:rsidRDefault="00FB7921" w:rsidP="00D31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91"/>
    <w:rsid w:val="000C7425"/>
    <w:rsid w:val="000D00EF"/>
    <w:rsid w:val="000E51B9"/>
    <w:rsid w:val="000F655E"/>
    <w:rsid w:val="001027E7"/>
    <w:rsid w:val="001C1D60"/>
    <w:rsid w:val="001F3B6C"/>
    <w:rsid w:val="00261F4F"/>
    <w:rsid w:val="00274EB4"/>
    <w:rsid w:val="002901F4"/>
    <w:rsid w:val="002E07B2"/>
    <w:rsid w:val="0034400E"/>
    <w:rsid w:val="00422B0F"/>
    <w:rsid w:val="00526F9D"/>
    <w:rsid w:val="005359C9"/>
    <w:rsid w:val="005E6ADC"/>
    <w:rsid w:val="00643700"/>
    <w:rsid w:val="0067287D"/>
    <w:rsid w:val="006B6F56"/>
    <w:rsid w:val="006C10A6"/>
    <w:rsid w:val="006C1EDF"/>
    <w:rsid w:val="006D03B2"/>
    <w:rsid w:val="00825893"/>
    <w:rsid w:val="00831B00"/>
    <w:rsid w:val="00831C91"/>
    <w:rsid w:val="0088582F"/>
    <w:rsid w:val="008F44FC"/>
    <w:rsid w:val="008F74D9"/>
    <w:rsid w:val="00A200A5"/>
    <w:rsid w:val="00A37455"/>
    <w:rsid w:val="00A50774"/>
    <w:rsid w:val="00A75D49"/>
    <w:rsid w:val="00AA5F4D"/>
    <w:rsid w:val="00B321C1"/>
    <w:rsid w:val="00C36167"/>
    <w:rsid w:val="00C91F56"/>
    <w:rsid w:val="00CB589F"/>
    <w:rsid w:val="00CF6568"/>
    <w:rsid w:val="00D31510"/>
    <w:rsid w:val="00D568EB"/>
    <w:rsid w:val="00D636AC"/>
    <w:rsid w:val="00DC21CC"/>
    <w:rsid w:val="00DD2AD2"/>
    <w:rsid w:val="00DF0D4E"/>
    <w:rsid w:val="00E041B5"/>
    <w:rsid w:val="00F004DC"/>
    <w:rsid w:val="00FB7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3A3B73"/>
  <w14:defaultImageDpi w14:val="32767"/>
  <w15:chartTrackingRefBased/>
  <w15:docId w15:val="{337D6BBC-C516-4340-8B3F-43FFCFD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1C9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1C91"/>
    <w:rPr>
      <w:sz w:val="16"/>
      <w:szCs w:val="16"/>
    </w:rPr>
  </w:style>
  <w:style w:type="paragraph" w:styleId="CommentText">
    <w:name w:val="annotation text"/>
    <w:basedOn w:val="Normal"/>
    <w:link w:val="CommentTextChar"/>
    <w:uiPriority w:val="99"/>
    <w:semiHidden/>
    <w:unhideWhenUsed/>
    <w:rsid w:val="00831C9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31C91"/>
    <w:rPr>
      <w:sz w:val="20"/>
      <w:szCs w:val="20"/>
      <w:lang w:val="en-GB"/>
    </w:rPr>
  </w:style>
  <w:style w:type="paragraph" w:styleId="BalloonText">
    <w:name w:val="Balloon Text"/>
    <w:basedOn w:val="Normal"/>
    <w:link w:val="BalloonTextChar"/>
    <w:uiPriority w:val="99"/>
    <w:semiHidden/>
    <w:unhideWhenUsed/>
    <w:rsid w:val="00831C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C91"/>
    <w:rPr>
      <w:rFonts w:ascii="Times New Roman" w:hAnsi="Times New Roman" w:cs="Times New Roman"/>
      <w:sz w:val="18"/>
      <w:szCs w:val="18"/>
      <w:lang w:val="en-GB"/>
    </w:rPr>
  </w:style>
  <w:style w:type="character" w:styleId="Hyperlink">
    <w:name w:val="Hyperlink"/>
    <w:basedOn w:val="DefaultParagraphFont"/>
    <w:uiPriority w:val="99"/>
    <w:unhideWhenUsed/>
    <w:rsid w:val="00831C91"/>
    <w:rPr>
      <w:color w:val="0563C1" w:themeColor="hyperlink"/>
      <w:u w:val="single"/>
    </w:rPr>
  </w:style>
  <w:style w:type="paragraph" w:styleId="Footer">
    <w:name w:val="footer"/>
    <w:basedOn w:val="Normal"/>
    <w:link w:val="FooterChar"/>
    <w:uiPriority w:val="99"/>
    <w:unhideWhenUsed/>
    <w:rsid w:val="00D3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10"/>
    <w:rPr>
      <w:sz w:val="22"/>
      <w:szCs w:val="22"/>
      <w:lang w:val="en-GB"/>
    </w:rPr>
  </w:style>
  <w:style w:type="character" w:styleId="PageNumber">
    <w:name w:val="page number"/>
    <w:basedOn w:val="DefaultParagraphFont"/>
    <w:uiPriority w:val="99"/>
    <w:semiHidden/>
    <w:unhideWhenUsed/>
    <w:rsid w:val="00D31510"/>
  </w:style>
  <w:style w:type="paragraph" w:styleId="NormalWeb">
    <w:name w:val="Normal (Web)"/>
    <w:basedOn w:val="Normal"/>
    <w:uiPriority w:val="99"/>
    <w:unhideWhenUsed/>
    <w:rsid w:val="00F004D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11">
    <w:name w:val="Plain Table 11"/>
    <w:basedOn w:val="TableNormal"/>
    <w:uiPriority w:val="41"/>
    <w:rsid w:val="00F004DC"/>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901F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qFormat/>
    <w:rsid w:val="002901F4"/>
    <w:pPr>
      <w:spacing w:after="360" w:line="360" w:lineRule="auto"/>
    </w:pPr>
    <w:rPr>
      <w:rFonts w:ascii="Trebuchet MS" w:eastAsia="Times New Roman" w:hAnsi="Trebuchet MS" w:cs="Times New Roman"/>
      <w:sz w:val="24"/>
      <w:szCs w:val="20"/>
    </w:rPr>
  </w:style>
  <w:style w:type="character" w:customStyle="1" w:styleId="BodyTextChar">
    <w:name w:val="Body Text Char"/>
    <w:basedOn w:val="DefaultParagraphFont"/>
    <w:link w:val="BodyText"/>
    <w:rsid w:val="002901F4"/>
    <w:rPr>
      <w:rFonts w:ascii="Trebuchet MS" w:eastAsia="Times New Roman" w:hAnsi="Trebuchet M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3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dalby@glasgow.ac.uk" TargetMode="External"/><Relationship Id="rId3" Type="http://schemas.openxmlformats.org/officeDocument/2006/relationships/webSettings" Target="web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4746-09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Tsimbouri</cp:lastModifiedBy>
  <cp:revision>2</cp:revision>
  <dcterms:created xsi:type="dcterms:W3CDTF">2021-12-07T15:08:00Z</dcterms:created>
  <dcterms:modified xsi:type="dcterms:W3CDTF">2021-12-07T15:08:00Z</dcterms:modified>
</cp:coreProperties>
</file>