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F8F6" w14:textId="77777777" w:rsidR="00ED785A" w:rsidRPr="00A26362" w:rsidRDefault="009327DC" w:rsidP="0090419D">
      <w:pPr>
        <w:spacing w:line="276" w:lineRule="auto"/>
        <w:rPr>
          <w:rFonts w:ascii="Helvetica" w:hAnsi="Helvetica"/>
          <w:b/>
          <w:bCs/>
          <w:color w:val="4472C4" w:themeColor="accent1"/>
          <w:sz w:val="22"/>
          <w:szCs w:val="22"/>
          <w:u w:val="single"/>
        </w:rPr>
      </w:pPr>
      <w:r w:rsidRPr="00A26362">
        <w:rPr>
          <w:rFonts w:ascii="Helvetica" w:hAnsi="Helvetica"/>
          <w:b/>
          <w:bCs/>
          <w:color w:val="4472C4" w:themeColor="accent1"/>
          <w:sz w:val="22"/>
          <w:szCs w:val="22"/>
          <w:u w:val="single"/>
        </w:rPr>
        <w:t>ReadMe File to support datasets:</w:t>
      </w:r>
    </w:p>
    <w:p w14:paraId="393C2F69" w14:textId="77777777" w:rsidR="001527CA" w:rsidRDefault="001527CA" w:rsidP="001527CA">
      <w:pPr>
        <w:spacing w:line="276" w:lineRule="auto"/>
        <w:rPr>
          <w:rFonts w:ascii="Helvetica" w:hAnsi="Helvetica"/>
          <w:sz w:val="22"/>
          <w:szCs w:val="22"/>
        </w:rPr>
      </w:pPr>
    </w:p>
    <w:p w14:paraId="2757C3FF" w14:textId="683E63AB" w:rsidR="001527CA" w:rsidRPr="00EB5AF7" w:rsidRDefault="001527CA" w:rsidP="001527CA">
      <w:pPr>
        <w:spacing w:line="276" w:lineRule="auto"/>
        <w:rPr>
          <w:rFonts w:ascii="Helvetica" w:hAnsi="Helvetica"/>
          <w:sz w:val="22"/>
          <w:szCs w:val="22"/>
        </w:rPr>
      </w:pPr>
      <w:r w:rsidRPr="00A26362">
        <w:rPr>
          <w:rFonts w:ascii="Helvetica" w:hAnsi="Helvetica"/>
          <w:b/>
          <w:bCs/>
          <w:color w:val="4472C4" w:themeColor="accent1"/>
          <w:sz w:val="22"/>
          <w:szCs w:val="22"/>
        </w:rPr>
        <w:t>Project title:</w:t>
      </w:r>
      <w:r w:rsidRPr="00A26362">
        <w:rPr>
          <w:rFonts w:ascii="Helvetica" w:hAnsi="Helvetica"/>
          <w:color w:val="4472C4" w:themeColor="accent1"/>
          <w:sz w:val="22"/>
          <w:szCs w:val="22"/>
        </w:rPr>
        <w:t xml:space="preserve"> </w:t>
      </w:r>
      <w:r w:rsidRPr="001527CA">
        <w:rPr>
          <w:rFonts w:ascii="Arial" w:eastAsia="Calibri" w:hAnsi="Arial" w:cs="Arial"/>
          <w:sz w:val="21"/>
          <w:szCs w:val="21"/>
          <w:lang w:val="en-US"/>
        </w:rPr>
        <w:t xml:space="preserve">Prevalence of enterotoxigenic </w:t>
      </w:r>
      <w:r w:rsidRPr="001527CA">
        <w:rPr>
          <w:rFonts w:ascii="Arial" w:eastAsia="Calibri" w:hAnsi="Arial" w:cs="Arial"/>
          <w:i/>
          <w:iCs/>
          <w:sz w:val="21"/>
          <w:szCs w:val="21"/>
          <w:lang w:val="en-US"/>
        </w:rPr>
        <w:t>Staphylococcus aureus</w:t>
      </w:r>
      <w:r w:rsidRPr="001527CA">
        <w:rPr>
          <w:rFonts w:ascii="Arial" w:eastAsia="Calibri" w:hAnsi="Arial" w:cs="Arial"/>
          <w:sz w:val="21"/>
          <w:szCs w:val="21"/>
          <w:lang w:val="en-US"/>
        </w:rPr>
        <w:t xml:space="preserve"> in raw ruminants’ milk: A systematic review</w:t>
      </w:r>
      <w:r w:rsidRPr="00EB5AF7">
        <w:rPr>
          <w:rFonts w:ascii="Helvetica" w:hAnsi="Helvetica"/>
          <w:sz w:val="22"/>
          <w:szCs w:val="22"/>
        </w:rPr>
        <w:t xml:space="preserve"> </w:t>
      </w:r>
    </w:p>
    <w:p w14:paraId="0687B2AA" w14:textId="77777777" w:rsidR="009327DC" w:rsidRPr="0090419D" w:rsidRDefault="009327DC" w:rsidP="0090419D">
      <w:pPr>
        <w:spacing w:line="276" w:lineRule="auto"/>
        <w:rPr>
          <w:rFonts w:ascii="Helvetica" w:hAnsi="Helvetica"/>
          <w:sz w:val="22"/>
          <w:szCs w:val="22"/>
        </w:rPr>
      </w:pPr>
    </w:p>
    <w:p w14:paraId="1A92C755" w14:textId="3024B9DB" w:rsidR="001527CA" w:rsidRPr="001527CA" w:rsidRDefault="001527CA" w:rsidP="001527CA">
      <w:pPr>
        <w:jc w:val="both"/>
        <w:rPr>
          <w:rFonts w:ascii="Arial" w:eastAsia="Calibri" w:hAnsi="Arial" w:cs="Arial"/>
          <w:sz w:val="21"/>
          <w:szCs w:val="21"/>
          <w:lang w:val="en-US"/>
        </w:rPr>
      </w:pPr>
      <w:r w:rsidRPr="00A26362">
        <w:rPr>
          <w:rFonts w:ascii="Arial" w:eastAsia="Calibri" w:hAnsi="Arial" w:cs="Arial"/>
          <w:b/>
          <w:bCs/>
          <w:color w:val="4472C4" w:themeColor="accent1"/>
          <w:sz w:val="21"/>
          <w:szCs w:val="21"/>
          <w:lang w:val="en-US"/>
        </w:rPr>
        <w:t>Authors:</w:t>
      </w:r>
      <w:r w:rsidRPr="00A26362">
        <w:rPr>
          <w:rFonts w:ascii="Arial" w:eastAsia="Calibri" w:hAnsi="Arial" w:cs="Arial"/>
          <w:color w:val="4472C4" w:themeColor="accent1"/>
          <w:sz w:val="21"/>
          <w:szCs w:val="21"/>
          <w:lang w:val="en-US"/>
        </w:rPr>
        <w:t xml:space="preserve"> </w:t>
      </w:r>
      <w:r w:rsidRPr="001527CA">
        <w:rPr>
          <w:rFonts w:ascii="Arial" w:eastAsia="Calibri" w:hAnsi="Arial" w:cs="Arial"/>
          <w:sz w:val="21"/>
          <w:szCs w:val="21"/>
          <w:lang w:val="en-US"/>
        </w:rPr>
        <w:t xml:space="preserve">Maha Shalaby, Valentina </w:t>
      </w:r>
      <w:proofErr w:type="spellStart"/>
      <w:r w:rsidRPr="001527CA">
        <w:rPr>
          <w:rFonts w:ascii="Arial" w:eastAsia="Calibri" w:hAnsi="Arial" w:cs="Arial"/>
          <w:sz w:val="21"/>
          <w:szCs w:val="21"/>
          <w:lang w:val="en-US"/>
        </w:rPr>
        <w:t>Busin</w:t>
      </w:r>
      <w:proofErr w:type="spellEnd"/>
      <w:r w:rsidRPr="001527CA">
        <w:rPr>
          <w:rFonts w:ascii="Arial" w:eastAsia="Calibri" w:hAnsi="Arial" w:cs="Arial"/>
          <w:sz w:val="21"/>
          <w:szCs w:val="21"/>
          <w:lang w:val="en-US"/>
        </w:rPr>
        <w:t>, Julien</w:t>
      </w:r>
      <w:r w:rsidRPr="00B175B7">
        <w:rPr>
          <w:rFonts w:asciiTheme="minorBidi" w:hAnsiTheme="minorBidi"/>
          <w:sz w:val="21"/>
          <w:szCs w:val="21"/>
        </w:rPr>
        <w:t xml:space="preserve"> </w:t>
      </w:r>
      <w:proofErr w:type="spellStart"/>
      <w:r w:rsidRPr="00B175B7">
        <w:rPr>
          <w:rFonts w:asciiTheme="minorBidi" w:hAnsiTheme="minorBidi"/>
          <w:sz w:val="21"/>
          <w:szCs w:val="21"/>
        </w:rPr>
        <w:t>Reboud</w:t>
      </w:r>
      <w:proofErr w:type="spellEnd"/>
      <w:r w:rsidRPr="00B175B7">
        <w:rPr>
          <w:rFonts w:asciiTheme="minorBidi" w:hAnsiTheme="minorBidi"/>
          <w:sz w:val="21"/>
          <w:szCs w:val="21"/>
        </w:rPr>
        <w:t>,</w:t>
      </w:r>
      <w:r>
        <w:rPr>
          <w:rFonts w:asciiTheme="minorBidi" w:hAnsiTheme="minorBidi"/>
          <w:sz w:val="21"/>
          <w:szCs w:val="21"/>
        </w:rPr>
        <w:t xml:space="preserve"> </w:t>
      </w:r>
      <w:r w:rsidRPr="00B175B7">
        <w:rPr>
          <w:rFonts w:asciiTheme="minorBidi" w:hAnsiTheme="minorBidi"/>
          <w:sz w:val="21"/>
          <w:szCs w:val="21"/>
        </w:rPr>
        <w:t xml:space="preserve">Taya Forde, Ruth </w:t>
      </w:r>
      <w:proofErr w:type="spellStart"/>
      <w:r w:rsidRPr="00B175B7">
        <w:rPr>
          <w:rFonts w:asciiTheme="minorBidi" w:hAnsiTheme="minorBidi"/>
          <w:sz w:val="21"/>
          <w:szCs w:val="21"/>
        </w:rPr>
        <w:t>Zadoks</w:t>
      </w:r>
      <w:proofErr w:type="spellEnd"/>
    </w:p>
    <w:p w14:paraId="6CD15261" w14:textId="7C41A4AF" w:rsidR="0090419D" w:rsidRPr="0090419D" w:rsidRDefault="0090419D" w:rsidP="0090419D">
      <w:pPr>
        <w:spacing w:line="276" w:lineRule="auto"/>
        <w:rPr>
          <w:rFonts w:ascii="Helvetica" w:hAnsi="Helvetica"/>
          <w:sz w:val="22"/>
          <w:szCs w:val="22"/>
        </w:rPr>
      </w:pPr>
    </w:p>
    <w:p w14:paraId="635F021A" w14:textId="2A7F6B09" w:rsidR="00EB5AF7" w:rsidRPr="00A26362" w:rsidRDefault="00A26362" w:rsidP="00A26362">
      <w:pPr>
        <w:autoSpaceDE w:val="0"/>
        <w:autoSpaceDN w:val="0"/>
        <w:adjustRightInd w:val="0"/>
        <w:spacing w:line="360" w:lineRule="auto"/>
        <w:jc w:val="both"/>
        <w:rPr>
          <w:rFonts w:ascii="Arial" w:eastAsia="Calibri" w:hAnsi="Arial" w:cs="Arial"/>
          <w:b/>
          <w:bCs/>
          <w:color w:val="4472C4"/>
          <w:sz w:val="21"/>
          <w:szCs w:val="21"/>
          <w:lang w:val="en-US"/>
        </w:rPr>
      </w:pPr>
      <w:r w:rsidRPr="00A26362">
        <w:rPr>
          <w:rFonts w:ascii="Arial" w:eastAsia="Calibri" w:hAnsi="Arial" w:cs="Arial"/>
          <w:b/>
          <w:bCs/>
          <w:color w:val="4472C4"/>
          <w:sz w:val="21"/>
          <w:szCs w:val="21"/>
          <w:lang w:val="en-US"/>
        </w:rPr>
        <w:t>Funding</w:t>
      </w:r>
      <w:r>
        <w:rPr>
          <w:rFonts w:ascii="Arial" w:eastAsia="Calibri" w:hAnsi="Arial" w:cs="Arial"/>
          <w:b/>
          <w:bCs/>
          <w:color w:val="4472C4"/>
          <w:sz w:val="21"/>
          <w:szCs w:val="21"/>
          <w:lang w:val="en-US"/>
        </w:rPr>
        <w:t xml:space="preserve">: </w:t>
      </w:r>
      <w:r w:rsidRPr="00A26362">
        <w:rPr>
          <w:rFonts w:ascii="Arial" w:eastAsia="Calibri" w:hAnsi="Arial" w:cs="Arial"/>
          <w:sz w:val="21"/>
          <w:szCs w:val="21"/>
          <w:lang w:val="en-US"/>
        </w:rPr>
        <w:t>This work was funded by the scholarship funding from the Egyptian Ministry of Higher Education [MM28/19].</w:t>
      </w:r>
    </w:p>
    <w:p w14:paraId="4E89CFF3" w14:textId="77777777" w:rsidR="001527CA" w:rsidRDefault="001527CA" w:rsidP="001527CA">
      <w:pPr>
        <w:pStyle w:val="Default"/>
      </w:pPr>
    </w:p>
    <w:p w14:paraId="02F66444" w14:textId="77777777" w:rsidR="00C13B0F" w:rsidRDefault="001527CA" w:rsidP="00C13B0F">
      <w:pPr>
        <w:pStyle w:val="p1"/>
        <w:spacing w:line="360" w:lineRule="auto"/>
        <w:jc w:val="both"/>
        <w:rPr>
          <w:rFonts w:asciiTheme="minorBidi" w:hAnsiTheme="minorBidi" w:cstheme="minorBidi"/>
          <w:sz w:val="21"/>
          <w:szCs w:val="21"/>
        </w:rPr>
      </w:pPr>
      <w:r w:rsidRPr="00A26362">
        <w:rPr>
          <w:rFonts w:asciiTheme="minorBidi" w:hAnsiTheme="minorBidi" w:cstheme="minorBidi"/>
          <w:sz w:val="21"/>
          <w:szCs w:val="21"/>
        </w:rPr>
        <w:t xml:space="preserve">This readme file aims to provide a guide </w:t>
      </w:r>
      <w:r w:rsidR="00A26362" w:rsidRPr="00A26362">
        <w:rPr>
          <w:rFonts w:asciiTheme="minorBidi" w:hAnsiTheme="minorBidi" w:cstheme="minorBidi"/>
          <w:sz w:val="21"/>
          <w:szCs w:val="21"/>
        </w:rPr>
        <w:t xml:space="preserve">how </w:t>
      </w:r>
      <w:r w:rsidRPr="00A26362">
        <w:rPr>
          <w:rFonts w:asciiTheme="minorBidi" w:hAnsiTheme="minorBidi" w:cstheme="minorBidi"/>
          <w:sz w:val="21"/>
          <w:szCs w:val="21"/>
        </w:rPr>
        <w:t xml:space="preserve">to use </w:t>
      </w:r>
      <w:r w:rsidR="00A26362" w:rsidRPr="00A26362">
        <w:rPr>
          <w:rFonts w:asciiTheme="minorBidi" w:hAnsiTheme="minorBidi" w:cstheme="minorBidi"/>
          <w:sz w:val="21"/>
          <w:szCs w:val="21"/>
        </w:rPr>
        <w:t>these</w:t>
      </w:r>
      <w:r w:rsidRPr="00A26362">
        <w:rPr>
          <w:rFonts w:asciiTheme="minorBidi" w:hAnsiTheme="minorBidi" w:cstheme="minorBidi"/>
          <w:sz w:val="21"/>
          <w:szCs w:val="21"/>
        </w:rPr>
        <w:t xml:space="preserve"> data</w:t>
      </w:r>
      <w:r w:rsidR="00C13B0F">
        <w:rPr>
          <w:rFonts w:asciiTheme="minorBidi" w:hAnsiTheme="minorBidi" w:cstheme="minorBidi"/>
          <w:sz w:val="21"/>
          <w:szCs w:val="21"/>
        </w:rPr>
        <w:t>:</w:t>
      </w:r>
    </w:p>
    <w:p w14:paraId="3F7DA43D" w14:textId="68FF727F" w:rsidR="00C13B0F" w:rsidRPr="00C13B0F" w:rsidRDefault="00A26362" w:rsidP="00C13B0F">
      <w:pPr>
        <w:pStyle w:val="p1"/>
        <w:numPr>
          <w:ilvl w:val="0"/>
          <w:numId w:val="2"/>
        </w:numPr>
        <w:spacing w:line="360" w:lineRule="auto"/>
        <w:jc w:val="both"/>
        <w:rPr>
          <w:rFonts w:asciiTheme="minorBidi" w:hAnsiTheme="minorBidi" w:cstheme="minorBidi"/>
          <w:sz w:val="21"/>
          <w:szCs w:val="21"/>
        </w:rPr>
      </w:pPr>
      <w:r>
        <w:rPr>
          <w:rFonts w:asciiTheme="minorBidi" w:hAnsiTheme="minorBidi" w:cstheme="minorBidi"/>
          <w:sz w:val="21"/>
          <w:szCs w:val="21"/>
        </w:rPr>
        <w:t xml:space="preserve">Excel sheet, </w:t>
      </w:r>
      <w:r w:rsidRPr="00A26362">
        <w:rPr>
          <w:rFonts w:asciiTheme="minorBidi" w:eastAsia="Times New Roman" w:hAnsiTheme="minorBidi" w:cstheme="minorBidi"/>
          <w:color w:val="000000"/>
          <w:sz w:val="21"/>
          <w:szCs w:val="21"/>
        </w:rPr>
        <w:t xml:space="preserve">Summary of Systematic review data_V1_MS_13-7-2022, </w:t>
      </w:r>
      <w:r w:rsidR="00EB5AF7" w:rsidRPr="00A26362">
        <w:rPr>
          <w:rFonts w:asciiTheme="minorBidi" w:eastAsia="Times New Roman" w:hAnsiTheme="minorBidi" w:cstheme="minorBidi"/>
          <w:color w:val="000000"/>
          <w:sz w:val="21"/>
          <w:szCs w:val="21"/>
        </w:rPr>
        <w:t xml:space="preserve">contains data </w:t>
      </w:r>
      <w:r w:rsidRPr="00A26362">
        <w:rPr>
          <w:rFonts w:asciiTheme="minorBidi" w:eastAsia="Times New Roman" w:hAnsiTheme="minorBidi" w:cstheme="minorBidi"/>
          <w:color w:val="000000"/>
          <w:sz w:val="21"/>
          <w:szCs w:val="21"/>
        </w:rPr>
        <w:t>extracted from the included studies in the systematic review in one sheet and another sheet show</w:t>
      </w:r>
      <w:r w:rsidR="00684AF9">
        <w:rPr>
          <w:rFonts w:asciiTheme="minorBidi" w:eastAsia="Times New Roman" w:hAnsiTheme="minorBidi" w:cstheme="minorBidi"/>
          <w:color w:val="000000"/>
          <w:sz w:val="21"/>
          <w:szCs w:val="21"/>
        </w:rPr>
        <w:t>ing</w:t>
      </w:r>
      <w:r w:rsidRPr="00A26362">
        <w:rPr>
          <w:rFonts w:asciiTheme="minorBidi" w:eastAsia="Times New Roman" w:hAnsiTheme="minorBidi" w:cstheme="minorBidi"/>
          <w:color w:val="000000"/>
          <w:sz w:val="21"/>
          <w:szCs w:val="21"/>
        </w:rPr>
        <w:t xml:space="preserve"> the quality assessment of these studies. Extracted data were</w:t>
      </w:r>
      <w:r w:rsidR="00684AF9">
        <w:rPr>
          <w:rFonts w:asciiTheme="minorBidi" w:eastAsia="Times New Roman" w:hAnsiTheme="minorBidi" w:cstheme="minorBidi"/>
          <w:color w:val="000000"/>
          <w:sz w:val="21"/>
          <w:szCs w:val="21"/>
        </w:rPr>
        <w:t>:</w:t>
      </w:r>
      <w:r w:rsidRPr="00A26362">
        <w:rPr>
          <w:rFonts w:asciiTheme="minorBidi" w:eastAsia="Times New Roman" w:hAnsiTheme="minorBidi" w:cstheme="minorBidi"/>
          <w:color w:val="000000"/>
          <w:sz w:val="21"/>
          <w:szCs w:val="21"/>
        </w:rPr>
        <w:t xml:space="preserve"> </w:t>
      </w:r>
      <w:r w:rsidR="00D73200" w:rsidRPr="00A26362">
        <w:rPr>
          <w:rFonts w:asciiTheme="minorBidi" w:hAnsiTheme="minorBidi" w:cstheme="minorBidi"/>
          <w:sz w:val="21"/>
          <w:szCs w:val="21"/>
        </w:rPr>
        <w:t>citation information (author</w:t>
      </w:r>
      <w:r w:rsidR="002E22DA">
        <w:rPr>
          <w:rFonts w:asciiTheme="minorBidi" w:hAnsiTheme="minorBidi" w:cstheme="minorBidi"/>
          <w:sz w:val="21"/>
          <w:szCs w:val="21"/>
        </w:rPr>
        <w:t>s</w:t>
      </w:r>
      <w:r w:rsidR="00D73200" w:rsidRPr="00A26362">
        <w:rPr>
          <w:rFonts w:asciiTheme="minorBidi" w:hAnsiTheme="minorBidi" w:cstheme="minorBidi"/>
          <w:sz w:val="21"/>
          <w:szCs w:val="21"/>
        </w:rPr>
        <w:t>’ name</w:t>
      </w:r>
      <w:r w:rsidR="002E22DA">
        <w:rPr>
          <w:rFonts w:asciiTheme="minorBidi" w:hAnsiTheme="minorBidi" w:cstheme="minorBidi"/>
          <w:sz w:val="21"/>
          <w:szCs w:val="21"/>
        </w:rPr>
        <w:t>s</w:t>
      </w:r>
      <w:r w:rsidR="00D73200" w:rsidRPr="00A26362">
        <w:rPr>
          <w:rFonts w:asciiTheme="minorBidi" w:hAnsiTheme="minorBidi" w:cstheme="minorBidi"/>
          <w:sz w:val="21"/>
          <w:szCs w:val="21"/>
        </w:rPr>
        <w:t>, year of publication, journal name, volume and pages); year of study; geographical data</w:t>
      </w:r>
      <w:r w:rsidR="00CC1DE5">
        <w:rPr>
          <w:rFonts w:asciiTheme="minorBidi" w:hAnsiTheme="minorBidi" w:cstheme="minorBidi"/>
          <w:sz w:val="21"/>
          <w:szCs w:val="21"/>
        </w:rPr>
        <w:t xml:space="preserve">; </w:t>
      </w:r>
      <w:r w:rsidR="00D73200" w:rsidRPr="00A26362">
        <w:rPr>
          <w:rFonts w:asciiTheme="minorBidi" w:hAnsiTheme="minorBidi" w:cstheme="minorBidi"/>
          <w:sz w:val="21"/>
          <w:szCs w:val="21"/>
        </w:rPr>
        <w:t>number of farms and animal species from which the samples were collected; health status of animal (healthy or mastitis), and test(s) used for mastitis diagnosis</w:t>
      </w:r>
      <w:r w:rsidR="00F374CC">
        <w:rPr>
          <w:rFonts w:asciiTheme="minorBidi" w:hAnsiTheme="minorBidi" w:cstheme="minorBidi"/>
          <w:sz w:val="21"/>
          <w:szCs w:val="21"/>
        </w:rPr>
        <w:t xml:space="preserve"> (SCC = Somatic Cell Count, CMT = California Mastitis Test</w:t>
      </w:r>
      <w:r w:rsidR="00231798">
        <w:rPr>
          <w:rFonts w:asciiTheme="minorBidi" w:hAnsiTheme="minorBidi" w:cstheme="minorBidi"/>
          <w:sz w:val="21"/>
          <w:szCs w:val="21"/>
        </w:rPr>
        <w:t>, TBC = total bacterial count</w:t>
      </w:r>
      <w:r w:rsidR="004471AC">
        <w:rPr>
          <w:rFonts w:asciiTheme="minorBidi" w:hAnsiTheme="minorBidi" w:cstheme="minorBidi"/>
          <w:sz w:val="21"/>
          <w:szCs w:val="21"/>
        </w:rPr>
        <w:t>)</w:t>
      </w:r>
      <w:r w:rsidR="00D73200" w:rsidRPr="00A26362">
        <w:rPr>
          <w:rFonts w:asciiTheme="minorBidi" w:hAnsiTheme="minorBidi" w:cstheme="minorBidi"/>
          <w:sz w:val="21"/>
          <w:szCs w:val="21"/>
        </w:rPr>
        <w:t>; milk source (consumption level, which stands for bulk tank milk and/or milk available at retail, i.e., co-mingled milk; or host level, which stands for individual milk).</w:t>
      </w:r>
      <w:r w:rsidR="00CC1DE5">
        <w:rPr>
          <w:rFonts w:asciiTheme="minorBidi" w:hAnsiTheme="minorBidi" w:cstheme="minorBidi"/>
          <w:sz w:val="21"/>
          <w:szCs w:val="21"/>
        </w:rPr>
        <w:t xml:space="preserve"> </w:t>
      </w:r>
      <w:r w:rsidR="00D73200" w:rsidRPr="00A26362">
        <w:rPr>
          <w:rFonts w:asciiTheme="minorBidi" w:hAnsiTheme="minorBidi" w:cstheme="minorBidi"/>
          <w:sz w:val="21"/>
          <w:szCs w:val="21"/>
        </w:rPr>
        <w:t xml:space="preserve">Laboratory methods used for detection of </w:t>
      </w:r>
      <w:r w:rsidR="00D73200" w:rsidRPr="00A26362">
        <w:rPr>
          <w:rFonts w:asciiTheme="minorBidi" w:hAnsiTheme="minorBidi" w:cstheme="minorBidi"/>
          <w:i/>
          <w:iCs/>
          <w:sz w:val="21"/>
          <w:szCs w:val="21"/>
        </w:rPr>
        <w:t>S. aureus</w:t>
      </w:r>
      <w:r w:rsidR="00D73200" w:rsidRPr="00A26362">
        <w:rPr>
          <w:rFonts w:asciiTheme="minorBidi" w:hAnsiTheme="minorBidi" w:cstheme="minorBidi"/>
          <w:sz w:val="21"/>
          <w:szCs w:val="21"/>
        </w:rPr>
        <w:t xml:space="preserve"> enterotoxin genes and/or enterotoxins were also extracted</w:t>
      </w:r>
      <w:r w:rsidR="00F768AB">
        <w:rPr>
          <w:rFonts w:asciiTheme="minorBidi" w:hAnsiTheme="minorBidi" w:cstheme="minorBidi"/>
          <w:sz w:val="21"/>
          <w:szCs w:val="21"/>
        </w:rPr>
        <w:t xml:space="preserve"> (PCR = </w:t>
      </w:r>
      <w:r w:rsidR="00F768AB" w:rsidRPr="007D17AD">
        <w:rPr>
          <w:rFonts w:asciiTheme="minorBidi" w:hAnsiTheme="minorBidi" w:cstheme="minorBidi"/>
          <w:sz w:val="21"/>
          <w:szCs w:val="21"/>
        </w:rPr>
        <w:t xml:space="preserve">polymerase chain reaction, RT-PCR = Real Time polymerase chain reaction, ELISA = Enzyme-linked immunosorbent assay, </w:t>
      </w:r>
      <w:r w:rsidR="007D17AD" w:rsidRPr="007D17AD">
        <w:rPr>
          <w:rFonts w:asciiTheme="minorBidi" w:hAnsiTheme="minorBidi" w:cstheme="minorBidi"/>
          <w:sz w:val="21"/>
          <w:szCs w:val="21"/>
        </w:rPr>
        <w:t>RPLA = Reversed passive latex agglutination, ELFA = Enzyme-linked fluorescence assay)</w:t>
      </w:r>
      <w:r w:rsidR="00CC1DE5">
        <w:rPr>
          <w:rFonts w:asciiTheme="minorBidi" w:hAnsiTheme="minorBidi" w:cstheme="minorBidi"/>
          <w:sz w:val="21"/>
          <w:szCs w:val="21"/>
        </w:rPr>
        <w:t>. T</w:t>
      </w:r>
      <w:r w:rsidR="00D73200" w:rsidRPr="00A26362">
        <w:rPr>
          <w:rFonts w:asciiTheme="minorBidi" w:hAnsiTheme="minorBidi" w:cstheme="minorBidi"/>
          <w:sz w:val="21"/>
          <w:szCs w:val="21"/>
        </w:rPr>
        <w:t xml:space="preserve">he total number of </w:t>
      </w:r>
      <w:r w:rsidR="00D73200" w:rsidRPr="00A26362">
        <w:rPr>
          <w:rFonts w:asciiTheme="minorBidi" w:hAnsiTheme="minorBidi" w:cstheme="minorBidi"/>
          <w:i/>
          <w:iCs/>
          <w:sz w:val="21"/>
          <w:szCs w:val="21"/>
        </w:rPr>
        <w:t>S. aureus</w:t>
      </w:r>
      <w:r w:rsidR="00D73200" w:rsidRPr="00A26362">
        <w:rPr>
          <w:rFonts w:asciiTheme="minorBidi" w:hAnsiTheme="minorBidi" w:cstheme="minorBidi"/>
          <w:sz w:val="21"/>
          <w:szCs w:val="21"/>
        </w:rPr>
        <w:t xml:space="preserve"> enterotoxin-positive samples, and the number of </w:t>
      </w:r>
      <w:r w:rsidR="00D73200" w:rsidRPr="00A26362">
        <w:rPr>
          <w:rFonts w:asciiTheme="minorBidi" w:hAnsiTheme="minorBidi" w:cstheme="minorBidi"/>
          <w:i/>
          <w:iCs/>
          <w:sz w:val="21"/>
          <w:szCs w:val="21"/>
        </w:rPr>
        <w:t>S. aureus</w:t>
      </w:r>
      <w:r w:rsidR="00D73200" w:rsidRPr="00A26362">
        <w:rPr>
          <w:rFonts w:asciiTheme="minorBidi" w:hAnsiTheme="minorBidi" w:cstheme="minorBidi"/>
          <w:sz w:val="21"/>
          <w:szCs w:val="21"/>
        </w:rPr>
        <w:t xml:space="preserve"> isolates and/or strains that were carrying enterotoxin genes and/or able to produce enterotoxins were extracted. </w:t>
      </w:r>
      <w:r w:rsidR="00CC1DE5">
        <w:rPr>
          <w:rFonts w:asciiTheme="minorBidi" w:hAnsiTheme="minorBidi" w:cstheme="minorBidi"/>
          <w:sz w:val="21"/>
          <w:szCs w:val="21"/>
        </w:rPr>
        <w:t>T</w:t>
      </w:r>
      <w:r w:rsidR="00D73200" w:rsidRPr="00A26362">
        <w:rPr>
          <w:rFonts w:asciiTheme="minorBidi" w:hAnsiTheme="minorBidi" w:cstheme="minorBidi"/>
          <w:sz w:val="21"/>
          <w:szCs w:val="21"/>
        </w:rPr>
        <w:t xml:space="preserve">otal number of samples, total number of </w:t>
      </w:r>
      <w:r w:rsidR="00D73200" w:rsidRPr="00A26362">
        <w:rPr>
          <w:rFonts w:asciiTheme="minorBidi" w:hAnsiTheme="minorBidi" w:cstheme="minorBidi"/>
          <w:i/>
          <w:iCs/>
          <w:sz w:val="21"/>
          <w:szCs w:val="21"/>
        </w:rPr>
        <w:t>S. aureus</w:t>
      </w:r>
      <w:r w:rsidR="00D73200" w:rsidRPr="00A26362">
        <w:rPr>
          <w:rFonts w:asciiTheme="minorBidi" w:hAnsiTheme="minorBidi" w:cstheme="minorBidi"/>
          <w:sz w:val="21"/>
          <w:szCs w:val="21"/>
        </w:rPr>
        <w:t xml:space="preserve"> positive samples, and total number of enterotoxigenic </w:t>
      </w:r>
      <w:r w:rsidR="00D73200" w:rsidRPr="00A26362">
        <w:rPr>
          <w:rFonts w:asciiTheme="minorBidi" w:hAnsiTheme="minorBidi" w:cstheme="minorBidi"/>
          <w:i/>
          <w:iCs/>
          <w:sz w:val="21"/>
          <w:szCs w:val="21"/>
        </w:rPr>
        <w:t>S. aureus</w:t>
      </w:r>
      <w:r w:rsidR="00D73200" w:rsidRPr="00A26362">
        <w:rPr>
          <w:rFonts w:asciiTheme="minorBidi" w:hAnsiTheme="minorBidi" w:cstheme="minorBidi"/>
          <w:sz w:val="21"/>
          <w:szCs w:val="21"/>
        </w:rPr>
        <w:t xml:space="preserve"> positive samples were recorded.</w:t>
      </w:r>
      <w:r w:rsidR="00C13B0F">
        <w:rPr>
          <w:rFonts w:asciiTheme="minorBidi" w:hAnsiTheme="minorBidi" w:cstheme="minorBidi"/>
          <w:sz w:val="21"/>
          <w:szCs w:val="21"/>
        </w:rPr>
        <w:t xml:space="preserve"> </w:t>
      </w:r>
      <w:r w:rsidR="00CC1DE5" w:rsidRPr="00A26362">
        <w:rPr>
          <w:rFonts w:asciiTheme="minorBidi" w:eastAsia="CharisSIL" w:hAnsiTheme="minorBidi" w:cstheme="minorBidi"/>
          <w:sz w:val="21"/>
          <w:szCs w:val="21"/>
        </w:rPr>
        <w:t>Any missing data were recorded as not reported (NR).</w:t>
      </w:r>
      <w:r w:rsidR="002A5AD7" w:rsidRPr="002A5AD7">
        <w:rPr>
          <w:rFonts w:asciiTheme="minorBidi" w:hAnsiTheme="minorBidi"/>
          <w:sz w:val="21"/>
          <w:szCs w:val="21"/>
        </w:rPr>
        <w:t xml:space="preserve"> </w:t>
      </w:r>
      <w:r w:rsidR="002A5AD7" w:rsidRPr="00FE52B7">
        <w:rPr>
          <w:rFonts w:asciiTheme="minorBidi" w:hAnsiTheme="minorBidi"/>
          <w:sz w:val="21"/>
          <w:szCs w:val="21"/>
        </w:rPr>
        <w:t xml:space="preserve">The quality of included studies was assessed following the Joanna Briggs Institute (JBI) critical appraisal checklist for prevalence studies </w:t>
      </w:r>
      <w:r w:rsidR="002A5AD7" w:rsidRPr="00FE52B7">
        <w:rPr>
          <w:rFonts w:asciiTheme="minorBidi" w:hAnsiTheme="minorBidi"/>
          <w:sz w:val="21"/>
          <w:szCs w:val="21"/>
        </w:rPr>
        <w:fldChar w:fldCharType="begin"/>
      </w:r>
      <w:r w:rsidR="002A5AD7" w:rsidRPr="00FE52B7">
        <w:rPr>
          <w:rFonts w:asciiTheme="minorBidi" w:hAnsiTheme="minorBidi"/>
          <w:sz w:val="21"/>
          <w:szCs w:val="21"/>
        </w:rPr>
        <w:instrText xml:space="preserve"> ADDIN EN.CITE &lt;EndNote&gt;&lt;Cite&gt;&lt;Author&gt;Munn&lt;/Author&gt;&lt;Year&gt;2015&lt;/Year&gt;&lt;RecNum&gt;464&lt;/RecNum&gt;&lt;DisplayText&gt;(Munn et al. 2015)&lt;/DisplayText&gt;&lt;record&gt;&lt;rec-number&gt;464&lt;/rec-number&gt;&lt;foreign-keys&gt;&lt;key app="EN" db-id="x025stpsufezzjev5sb5zs2t0dxxxx59das2" timestamp="1655898092"&gt;464&lt;/key&gt;&lt;/foreign-keys&gt;&lt;ref-type name="Journal Article"&gt;17&lt;/ref-type&gt;&lt;contributors&gt;&lt;authors&gt;&lt;author&gt;Munn, Zachary&lt;/author&gt;&lt;author&gt;Moola, Sandeep&lt;/author&gt;&lt;author&gt;Lisy, Karolina&lt;/author&gt;&lt;author&gt;Riitano, Dagmara&lt;/author&gt;&lt;author&gt;Tufanaru, Catalin&lt;/author&gt;&lt;/authors&gt;&lt;/contributors&gt;&lt;titles&gt;&lt;title&gt;Methodological guidance for systematic reviews of observational epidemiological studies reporting prevalence and cumulative incidence data&lt;/title&gt;&lt;secondary-title&gt;International journal of evidence-based healthcare&lt;/secondary-title&gt;&lt;/titles&gt;&lt;periodical&gt;&lt;full-title&gt;International journal of evidence-based healthcare&lt;/full-title&gt;&lt;/periodical&gt;&lt;pages&gt;147-153&lt;/pages&gt;&lt;volume&gt;13&lt;/volume&gt;&lt;number&gt;3&lt;/number&gt;&lt;dates&gt;&lt;year&gt;2015&lt;/year&gt;&lt;/dates&gt;&lt;isbn&gt;1744-1609&lt;/isbn&gt;&lt;urls&gt;&lt;/urls&gt;&lt;/record&gt;&lt;/Cite&gt;&lt;/EndNote&gt;</w:instrText>
      </w:r>
      <w:r w:rsidR="002A5AD7" w:rsidRPr="00FE52B7">
        <w:rPr>
          <w:rFonts w:asciiTheme="minorBidi" w:hAnsiTheme="minorBidi"/>
          <w:sz w:val="21"/>
          <w:szCs w:val="21"/>
        </w:rPr>
        <w:fldChar w:fldCharType="separate"/>
      </w:r>
      <w:r w:rsidR="002A5AD7" w:rsidRPr="00FE52B7">
        <w:rPr>
          <w:rFonts w:asciiTheme="minorBidi" w:hAnsiTheme="minorBidi"/>
          <w:noProof/>
          <w:sz w:val="21"/>
          <w:szCs w:val="21"/>
        </w:rPr>
        <w:t>(</w:t>
      </w:r>
      <w:hyperlink w:anchor="_ENREF_37" w:tooltip="Munn, 2015 #464" w:history="1">
        <w:r w:rsidR="002A5AD7" w:rsidRPr="00FE52B7">
          <w:rPr>
            <w:rFonts w:asciiTheme="minorBidi" w:hAnsiTheme="minorBidi"/>
            <w:noProof/>
            <w:sz w:val="21"/>
            <w:szCs w:val="21"/>
          </w:rPr>
          <w:t>Munn et al. 2015</w:t>
        </w:r>
      </w:hyperlink>
      <w:r w:rsidR="002A5AD7" w:rsidRPr="00FE52B7">
        <w:rPr>
          <w:rFonts w:asciiTheme="minorBidi" w:hAnsiTheme="minorBidi"/>
          <w:noProof/>
          <w:sz w:val="21"/>
          <w:szCs w:val="21"/>
        </w:rPr>
        <w:t>)</w:t>
      </w:r>
      <w:r w:rsidR="002A5AD7" w:rsidRPr="00FE52B7">
        <w:rPr>
          <w:rFonts w:asciiTheme="minorBidi" w:hAnsiTheme="minorBidi"/>
          <w:sz w:val="21"/>
          <w:szCs w:val="21"/>
        </w:rPr>
        <w:fldChar w:fldCharType="end"/>
      </w:r>
      <w:r w:rsidR="002A5AD7">
        <w:rPr>
          <w:rFonts w:asciiTheme="minorBidi" w:hAnsiTheme="minorBidi"/>
          <w:sz w:val="21"/>
          <w:szCs w:val="21"/>
        </w:rPr>
        <w:t xml:space="preserve">, and it </w:t>
      </w:r>
      <w:r w:rsidR="00C13B0F" w:rsidRPr="00FE52B7">
        <w:rPr>
          <w:rFonts w:asciiTheme="minorBidi" w:hAnsiTheme="minorBidi"/>
          <w:sz w:val="21"/>
          <w:szCs w:val="21"/>
        </w:rPr>
        <w:t xml:space="preserve">was based on the following information: (1) sampling frame (i.e., sampling representation based on breed, herd or farm depending on the aim of each study), (2) sample quality: handling (disinfection before sample collection and use of sterile sampling containers) and transportation (use of insulated and cooled shipping containers), (3) sample size (milk volume, number of animals, number of samples and number of farms/collection </w:t>
      </w:r>
      <w:proofErr w:type="spellStart"/>
      <w:r w:rsidR="00C13B0F" w:rsidRPr="00FE52B7">
        <w:rPr>
          <w:rFonts w:asciiTheme="minorBidi" w:hAnsiTheme="minorBidi"/>
          <w:sz w:val="21"/>
          <w:szCs w:val="21"/>
        </w:rPr>
        <w:t>centers</w:t>
      </w:r>
      <w:proofErr w:type="spellEnd"/>
      <w:r w:rsidR="00C13B0F" w:rsidRPr="00FE52B7">
        <w:rPr>
          <w:rFonts w:asciiTheme="minorBidi" w:hAnsiTheme="minorBidi"/>
          <w:sz w:val="21"/>
          <w:szCs w:val="21"/>
        </w:rPr>
        <w:t xml:space="preserve">), (4) description of study settings, in particular, health status of source animals (i.e., healthy and/or mastitis milk were included in the study), (5) analysis of data (i.e., if the data obtained from the collected samples were </w:t>
      </w:r>
      <w:r w:rsidR="00CC1DE5" w:rsidRPr="00FE52B7">
        <w:rPr>
          <w:rFonts w:asciiTheme="minorBidi" w:hAnsiTheme="minorBidi"/>
          <w:sz w:val="21"/>
          <w:szCs w:val="21"/>
        </w:rPr>
        <w:t>analysed</w:t>
      </w:r>
      <w:r w:rsidR="00C13B0F" w:rsidRPr="00FE52B7">
        <w:rPr>
          <w:rFonts w:asciiTheme="minorBidi" w:hAnsiTheme="minorBidi"/>
          <w:sz w:val="21"/>
          <w:szCs w:val="21"/>
        </w:rPr>
        <w:t xml:space="preserve"> in an appropriate way) and (6) validity of laboratory methods used (</w:t>
      </w:r>
      <w:r w:rsidR="00C13B0F">
        <w:rPr>
          <w:rFonts w:asciiTheme="minorBidi" w:hAnsiTheme="minorBidi"/>
          <w:sz w:val="21"/>
          <w:szCs w:val="21"/>
        </w:rPr>
        <w:t>b</w:t>
      </w:r>
      <w:r w:rsidR="00C13B0F" w:rsidRPr="00FE52B7">
        <w:rPr>
          <w:rFonts w:asciiTheme="minorBidi" w:hAnsiTheme="minorBidi"/>
          <w:sz w:val="21"/>
          <w:szCs w:val="21"/>
        </w:rPr>
        <w:t xml:space="preserve">ased on detection target, </w:t>
      </w:r>
      <w:r w:rsidR="00C13B0F" w:rsidRPr="00FE52B7">
        <w:rPr>
          <w:rFonts w:asciiTheme="minorBidi" w:hAnsiTheme="minorBidi"/>
          <w:i/>
          <w:iCs/>
          <w:sz w:val="21"/>
          <w:szCs w:val="21"/>
        </w:rPr>
        <w:t>S. aureus</w:t>
      </w:r>
      <w:r w:rsidR="00C13B0F" w:rsidRPr="00FE52B7">
        <w:rPr>
          <w:rFonts w:asciiTheme="minorBidi" w:hAnsiTheme="minorBidi"/>
          <w:sz w:val="21"/>
          <w:szCs w:val="21"/>
        </w:rPr>
        <w:t xml:space="preserve"> enterotoxin genes and/or enterotoxins). Each study was given a score of 0 </w:t>
      </w:r>
      <w:r w:rsidR="00C13B0F" w:rsidRPr="00FE52B7">
        <w:rPr>
          <w:rFonts w:asciiTheme="minorBidi" w:hAnsiTheme="minorBidi"/>
          <w:sz w:val="21"/>
          <w:szCs w:val="21"/>
        </w:rPr>
        <w:lastRenderedPageBreak/>
        <w:t xml:space="preserve">(negative answer) or 1 (positive answer), with a maximum score of 10, as some of the criteria included sub criteria, </w:t>
      </w:r>
      <w:r w:rsidR="00CC1DE5">
        <w:rPr>
          <w:rFonts w:asciiTheme="minorBidi" w:hAnsiTheme="minorBidi"/>
          <w:sz w:val="21"/>
          <w:szCs w:val="21"/>
        </w:rPr>
        <w:t>i</w:t>
      </w:r>
      <w:r w:rsidR="00C13B0F" w:rsidRPr="00FE52B7">
        <w:rPr>
          <w:rFonts w:asciiTheme="minorBidi" w:hAnsiTheme="minorBidi"/>
          <w:sz w:val="21"/>
          <w:szCs w:val="21"/>
        </w:rPr>
        <w:t>.</w:t>
      </w:r>
      <w:r w:rsidR="00CC1DE5">
        <w:rPr>
          <w:rFonts w:asciiTheme="minorBidi" w:hAnsiTheme="minorBidi"/>
          <w:sz w:val="21"/>
          <w:szCs w:val="21"/>
        </w:rPr>
        <w:t>e</w:t>
      </w:r>
      <w:r w:rsidR="00C13B0F" w:rsidRPr="00FE52B7">
        <w:rPr>
          <w:rFonts w:asciiTheme="minorBidi" w:hAnsiTheme="minorBidi"/>
          <w:sz w:val="21"/>
          <w:szCs w:val="21"/>
        </w:rPr>
        <w:t>., sample quality included handling and transportation</w:t>
      </w:r>
      <w:r w:rsidR="00CC1DE5">
        <w:rPr>
          <w:rFonts w:asciiTheme="minorBidi" w:hAnsiTheme="minorBidi"/>
          <w:sz w:val="21"/>
          <w:szCs w:val="21"/>
        </w:rPr>
        <w:t xml:space="preserve">. </w:t>
      </w:r>
      <w:r w:rsidR="00C13B0F" w:rsidRPr="00FE52B7">
        <w:rPr>
          <w:rFonts w:asciiTheme="minorBidi" w:hAnsiTheme="minorBidi"/>
          <w:sz w:val="21"/>
          <w:szCs w:val="21"/>
        </w:rPr>
        <w:t>An overall assessment of high (score 8 or above), moderate (score between 5 and 8), or low (score 4 and below) quality was assigned to each article</w:t>
      </w:r>
      <w:r w:rsidR="00CC1DE5">
        <w:rPr>
          <w:rFonts w:asciiTheme="minorBidi" w:hAnsiTheme="minorBidi"/>
          <w:sz w:val="21"/>
          <w:szCs w:val="21"/>
        </w:rPr>
        <w:t>.</w:t>
      </w:r>
    </w:p>
    <w:p w14:paraId="331A7DE7" w14:textId="2AD855DE" w:rsidR="009327DC" w:rsidRDefault="007C61AD" w:rsidP="00C13B0F">
      <w:pPr>
        <w:pStyle w:val="ListParagraph"/>
        <w:numPr>
          <w:ilvl w:val="0"/>
          <w:numId w:val="2"/>
        </w:numPr>
        <w:spacing w:line="360" w:lineRule="auto"/>
        <w:jc w:val="both"/>
        <w:rPr>
          <w:rFonts w:asciiTheme="minorBidi" w:hAnsiTheme="minorBidi"/>
          <w:sz w:val="21"/>
          <w:szCs w:val="21"/>
        </w:rPr>
      </w:pPr>
      <w:r>
        <w:rPr>
          <w:rFonts w:asciiTheme="minorBidi" w:hAnsiTheme="minorBidi"/>
          <w:sz w:val="21"/>
          <w:szCs w:val="21"/>
        </w:rPr>
        <w:t>EndNote library</w:t>
      </w:r>
      <w:r w:rsidR="00C13B0F">
        <w:rPr>
          <w:rFonts w:asciiTheme="minorBidi" w:hAnsiTheme="minorBidi"/>
          <w:sz w:val="21"/>
          <w:szCs w:val="21"/>
        </w:rPr>
        <w:t xml:space="preserve"> </w:t>
      </w:r>
      <w:r>
        <w:rPr>
          <w:rFonts w:asciiTheme="minorBidi" w:hAnsiTheme="minorBidi"/>
          <w:sz w:val="21"/>
          <w:szCs w:val="21"/>
        </w:rPr>
        <w:t xml:space="preserve">includes the same studies included in the systematic review and exported to the </w:t>
      </w:r>
      <w:r w:rsidR="002E22DA">
        <w:rPr>
          <w:rFonts w:asciiTheme="minorBidi" w:hAnsiTheme="minorBidi"/>
          <w:sz w:val="21"/>
          <w:szCs w:val="21"/>
        </w:rPr>
        <w:t>E</w:t>
      </w:r>
      <w:r>
        <w:rPr>
          <w:rFonts w:asciiTheme="minorBidi" w:hAnsiTheme="minorBidi"/>
          <w:sz w:val="21"/>
          <w:szCs w:val="21"/>
        </w:rPr>
        <w:t>xc</w:t>
      </w:r>
      <w:r w:rsidR="002E22DA">
        <w:rPr>
          <w:rFonts w:asciiTheme="minorBidi" w:hAnsiTheme="minorBidi"/>
          <w:sz w:val="21"/>
          <w:szCs w:val="21"/>
        </w:rPr>
        <w:t>e</w:t>
      </w:r>
      <w:r>
        <w:rPr>
          <w:rFonts w:asciiTheme="minorBidi" w:hAnsiTheme="minorBidi"/>
          <w:sz w:val="21"/>
          <w:szCs w:val="21"/>
        </w:rPr>
        <w:t>l sheet for data extraction and quality assessment.</w:t>
      </w:r>
    </w:p>
    <w:p w14:paraId="082B4551" w14:textId="77777777" w:rsidR="007C61AD" w:rsidRPr="00C13B0F" w:rsidRDefault="007C61AD" w:rsidP="007C61AD">
      <w:pPr>
        <w:pStyle w:val="ListParagraph"/>
        <w:spacing w:line="360" w:lineRule="auto"/>
        <w:jc w:val="both"/>
        <w:rPr>
          <w:rFonts w:asciiTheme="minorBidi" w:hAnsiTheme="minorBidi"/>
          <w:sz w:val="21"/>
          <w:szCs w:val="21"/>
        </w:rPr>
      </w:pPr>
    </w:p>
    <w:sectPr w:rsidR="007C61AD" w:rsidRPr="00C13B0F" w:rsidSect="000F216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harisSIL">
    <w:altName w:val="Yu Gothic"/>
    <w:charset w:val="00"/>
    <w:family w:val="swiss"/>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44F4B"/>
    <w:multiLevelType w:val="hybridMultilevel"/>
    <w:tmpl w:val="72605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B942D68"/>
    <w:multiLevelType w:val="hybridMultilevel"/>
    <w:tmpl w:val="B310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38233">
    <w:abstractNumId w:val="0"/>
  </w:num>
  <w:num w:numId="2" w16cid:durableId="280503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DC"/>
    <w:rsid w:val="00023399"/>
    <w:rsid w:val="000305FB"/>
    <w:rsid w:val="00032FF0"/>
    <w:rsid w:val="00052C56"/>
    <w:rsid w:val="0005640D"/>
    <w:rsid w:val="000672D9"/>
    <w:rsid w:val="00072883"/>
    <w:rsid w:val="00073A30"/>
    <w:rsid w:val="0008130F"/>
    <w:rsid w:val="00082D5D"/>
    <w:rsid w:val="000846D5"/>
    <w:rsid w:val="00091A84"/>
    <w:rsid w:val="00097961"/>
    <w:rsid w:val="000B582C"/>
    <w:rsid w:val="000C0641"/>
    <w:rsid w:val="000C572D"/>
    <w:rsid w:val="000C77E7"/>
    <w:rsid w:val="000C7CE3"/>
    <w:rsid w:val="000F2168"/>
    <w:rsid w:val="00110158"/>
    <w:rsid w:val="001155C2"/>
    <w:rsid w:val="00121F12"/>
    <w:rsid w:val="00125545"/>
    <w:rsid w:val="001320C2"/>
    <w:rsid w:val="00133F10"/>
    <w:rsid w:val="00134F93"/>
    <w:rsid w:val="00142540"/>
    <w:rsid w:val="001527CA"/>
    <w:rsid w:val="0015415C"/>
    <w:rsid w:val="001B0850"/>
    <w:rsid w:val="001B276F"/>
    <w:rsid w:val="001B27C3"/>
    <w:rsid w:val="001B3451"/>
    <w:rsid w:val="001C378B"/>
    <w:rsid w:val="001C5A68"/>
    <w:rsid w:val="001D48E2"/>
    <w:rsid w:val="001E41B1"/>
    <w:rsid w:val="002077EF"/>
    <w:rsid w:val="00225070"/>
    <w:rsid w:val="00231798"/>
    <w:rsid w:val="00232460"/>
    <w:rsid w:val="00235A97"/>
    <w:rsid w:val="00235F55"/>
    <w:rsid w:val="00236C6D"/>
    <w:rsid w:val="0025476E"/>
    <w:rsid w:val="00262AB4"/>
    <w:rsid w:val="0026615B"/>
    <w:rsid w:val="00274DDD"/>
    <w:rsid w:val="00274F36"/>
    <w:rsid w:val="0027702B"/>
    <w:rsid w:val="00295EE1"/>
    <w:rsid w:val="002A2054"/>
    <w:rsid w:val="002A2A23"/>
    <w:rsid w:val="002A5AD7"/>
    <w:rsid w:val="002C02E4"/>
    <w:rsid w:val="002E0954"/>
    <w:rsid w:val="002E1BAF"/>
    <w:rsid w:val="002E22DA"/>
    <w:rsid w:val="002E2BB8"/>
    <w:rsid w:val="002E702C"/>
    <w:rsid w:val="003006D2"/>
    <w:rsid w:val="003020A9"/>
    <w:rsid w:val="00304C69"/>
    <w:rsid w:val="00311FFD"/>
    <w:rsid w:val="00317195"/>
    <w:rsid w:val="00317666"/>
    <w:rsid w:val="00356762"/>
    <w:rsid w:val="00364CC2"/>
    <w:rsid w:val="003721FA"/>
    <w:rsid w:val="003838C7"/>
    <w:rsid w:val="00384B43"/>
    <w:rsid w:val="00385939"/>
    <w:rsid w:val="003A371A"/>
    <w:rsid w:val="003C2CD4"/>
    <w:rsid w:val="003C5586"/>
    <w:rsid w:val="003C5A3E"/>
    <w:rsid w:val="003E1BC8"/>
    <w:rsid w:val="003E4CF4"/>
    <w:rsid w:val="003E71BC"/>
    <w:rsid w:val="003F0EF9"/>
    <w:rsid w:val="00411FCE"/>
    <w:rsid w:val="00424DA1"/>
    <w:rsid w:val="00427709"/>
    <w:rsid w:val="00430220"/>
    <w:rsid w:val="00432E1E"/>
    <w:rsid w:val="004471AC"/>
    <w:rsid w:val="00451606"/>
    <w:rsid w:val="004550B6"/>
    <w:rsid w:val="0045528D"/>
    <w:rsid w:val="00460E2D"/>
    <w:rsid w:val="0046557C"/>
    <w:rsid w:val="00466F3B"/>
    <w:rsid w:val="004708E9"/>
    <w:rsid w:val="0047170D"/>
    <w:rsid w:val="00476F46"/>
    <w:rsid w:val="00477569"/>
    <w:rsid w:val="0048509D"/>
    <w:rsid w:val="00491C23"/>
    <w:rsid w:val="004A1DCA"/>
    <w:rsid w:val="004A546E"/>
    <w:rsid w:val="004A6DD7"/>
    <w:rsid w:val="004A750C"/>
    <w:rsid w:val="004B1AE7"/>
    <w:rsid w:val="004B6184"/>
    <w:rsid w:val="004B6E9F"/>
    <w:rsid w:val="004C017D"/>
    <w:rsid w:val="004C3E9F"/>
    <w:rsid w:val="004C5083"/>
    <w:rsid w:val="004F7FE8"/>
    <w:rsid w:val="0052411A"/>
    <w:rsid w:val="00526E31"/>
    <w:rsid w:val="005314F9"/>
    <w:rsid w:val="00533B17"/>
    <w:rsid w:val="00534F9C"/>
    <w:rsid w:val="00535223"/>
    <w:rsid w:val="00535551"/>
    <w:rsid w:val="0054445F"/>
    <w:rsid w:val="005540DF"/>
    <w:rsid w:val="00555C09"/>
    <w:rsid w:val="005868E4"/>
    <w:rsid w:val="0059693D"/>
    <w:rsid w:val="005A15F2"/>
    <w:rsid w:val="005B2D0A"/>
    <w:rsid w:val="005B5687"/>
    <w:rsid w:val="005E2FB7"/>
    <w:rsid w:val="00600992"/>
    <w:rsid w:val="006149A6"/>
    <w:rsid w:val="00620054"/>
    <w:rsid w:val="006265B4"/>
    <w:rsid w:val="00634296"/>
    <w:rsid w:val="00637353"/>
    <w:rsid w:val="00637CEA"/>
    <w:rsid w:val="0064669B"/>
    <w:rsid w:val="00657308"/>
    <w:rsid w:val="0067099E"/>
    <w:rsid w:val="00682E1F"/>
    <w:rsid w:val="00684AF9"/>
    <w:rsid w:val="00696897"/>
    <w:rsid w:val="006A3AB8"/>
    <w:rsid w:val="006A4B74"/>
    <w:rsid w:val="006B24C7"/>
    <w:rsid w:val="006B3325"/>
    <w:rsid w:val="006B6250"/>
    <w:rsid w:val="006B6FA2"/>
    <w:rsid w:val="006C1E3F"/>
    <w:rsid w:val="006C5D9F"/>
    <w:rsid w:val="006D116B"/>
    <w:rsid w:val="007009F6"/>
    <w:rsid w:val="007217F2"/>
    <w:rsid w:val="00740336"/>
    <w:rsid w:val="0074781D"/>
    <w:rsid w:val="0075328A"/>
    <w:rsid w:val="007535B2"/>
    <w:rsid w:val="007627EB"/>
    <w:rsid w:val="00777F73"/>
    <w:rsid w:val="0078192A"/>
    <w:rsid w:val="00785ECC"/>
    <w:rsid w:val="00797541"/>
    <w:rsid w:val="007A2C7A"/>
    <w:rsid w:val="007A4505"/>
    <w:rsid w:val="007A5F15"/>
    <w:rsid w:val="007B096B"/>
    <w:rsid w:val="007C25A5"/>
    <w:rsid w:val="007C61AD"/>
    <w:rsid w:val="007C67A2"/>
    <w:rsid w:val="007C6933"/>
    <w:rsid w:val="007D17AD"/>
    <w:rsid w:val="007D4E62"/>
    <w:rsid w:val="007E42E8"/>
    <w:rsid w:val="007F0747"/>
    <w:rsid w:val="007F0CD0"/>
    <w:rsid w:val="00831D3E"/>
    <w:rsid w:val="00870BCC"/>
    <w:rsid w:val="00890886"/>
    <w:rsid w:val="008A0AC0"/>
    <w:rsid w:val="008A2DE0"/>
    <w:rsid w:val="008D6CD9"/>
    <w:rsid w:val="008F01F3"/>
    <w:rsid w:val="0090419D"/>
    <w:rsid w:val="00912675"/>
    <w:rsid w:val="00923045"/>
    <w:rsid w:val="00925223"/>
    <w:rsid w:val="0092657E"/>
    <w:rsid w:val="009327DC"/>
    <w:rsid w:val="00936B07"/>
    <w:rsid w:val="0094268E"/>
    <w:rsid w:val="0095228E"/>
    <w:rsid w:val="00961532"/>
    <w:rsid w:val="00962A6A"/>
    <w:rsid w:val="00972E39"/>
    <w:rsid w:val="00974A99"/>
    <w:rsid w:val="009779A9"/>
    <w:rsid w:val="00982C66"/>
    <w:rsid w:val="009932AD"/>
    <w:rsid w:val="0099337D"/>
    <w:rsid w:val="00996992"/>
    <w:rsid w:val="009A6859"/>
    <w:rsid w:val="009A7CC0"/>
    <w:rsid w:val="009C0443"/>
    <w:rsid w:val="009D6B89"/>
    <w:rsid w:val="00A009FA"/>
    <w:rsid w:val="00A16511"/>
    <w:rsid w:val="00A24BF6"/>
    <w:rsid w:val="00A26362"/>
    <w:rsid w:val="00A27625"/>
    <w:rsid w:val="00A37D7C"/>
    <w:rsid w:val="00A41002"/>
    <w:rsid w:val="00A64E5D"/>
    <w:rsid w:val="00A70C3B"/>
    <w:rsid w:val="00A81184"/>
    <w:rsid w:val="00A8158A"/>
    <w:rsid w:val="00AA2A2D"/>
    <w:rsid w:val="00AA5E32"/>
    <w:rsid w:val="00AB5B22"/>
    <w:rsid w:val="00AB6DC2"/>
    <w:rsid w:val="00AC3AAA"/>
    <w:rsid w:val="00AC6C3B"/>
    <w:rsid w:val="00AC7538"/>
    <w:rsid w:val="00AD5862"/>
    <w:rsid w:val="00AF08F1"/>
    <w:rsid w:val="00AF78E7"/>
    <w:rsid w:val="00B03E35"/>
    <w:rsid w:val="00B14497"/>
    <w:rsid w:val="00B27BB8"/>
    <w:rsid w:val="00B36291"/>
    <w:rsid w:val="00B4459F"/>
    <w:rsid w:val="00B51C82"/>
    <w:rsid w:val="00B6169F"/>
    <w:rsid w:val="00B80162"/>
    <w:rsid w:val="00B8403D"/>
    <w:rsid w:val="00B91494"/>
    <w:rsid w:val="00BC3F32"/>
    <w:rsid w:val="00BC6AD7"/>
    <w:rsid w:val="00BD44D1"/>
    <w:rsid w:val="00BE3880"/>
    <w:rsid w:val="00BE67CD"/>
    <w:rsid w:val="00C01152"/>
    <w:rsid w:val="00C07067"/>
    <w:rsid w:val="00C11CF2"/>
    <w:rsid w:val="00C13B0F"/>
    <w:rsid w:val="00C15867"/>
    <w:rsid w:val="00C3040E"/>
    <w:rsid w:val="00C357FF"/>
    <w:rsid w:val="00C37046"/>
    <w:rsid w:val="00C565FE"/>
    <w:rsid w:val="00C75C0D"/>
    <w:rsid w:val="00C91516"/>
    <w:rsid w:val="00C94F17"/>
    <w:rsid w:val="00C97A9E"/>
    <w:rsid w:val="00CB0CB5"/>
    <w:rsid w:val="00CB75AB"/>
    <w:rsid w:val="00CB7A6D"/>
    <w:rsid w:val="00CC1DE5"/>
    <w:rsid w:val="00CC1F7C"/>
    <w:rsid w:val="00CD18F8"/>
    <w:rsid w:val="00CF1B33"/>
    <w:rsid w:val="00D00C22"/>
    <w:rsid w:val="00D014A4"/>
    <w:rsid w:val="00D11023"/>
    <w:rsid w:val="00D149E0"/>
    <w:rsid w:val="00D15C1D"/>
    <w:rsid w:val="00D215C2"/>
    <w:rsid w:val="00D22EF1"/>
    <w:rsid w:val="00D273A1"/>
    <w:rsid w:val="00D4700A"/>
    <w:rsid w:val="00D63707"/>
    <w:rsid w:val="00D64CB6"/>
    <w:rsid w:val="00D656CB"/>
    <w:rsid w:val="00D670F5"/>
    <w:rsid w:val="00D72868"/>
    <w:rsid w:val="00D73200"/>
    <w:rsid w:val="00D94576"/>
    <w:rsid w:val="00D9727B"/>
    <w:rsid w:val="00DA340A"/>
    <w:rsid w:val="00DD0F4D"/>
    <w:rsid w:val="00DD551C"/>
    <w:rsid w:val="00DD7C4D"/>
    <w:rsid w:val="00DE6203"/>
    <w:rsid w:val="00DF3E9C"/>
    <w:rsid w:val="00E06ABC"/>
    <w:rsid w:val="00E11CDB"/>
    <w:rsid w:val="00E2368A"/>
    <w:rsid w:val="00E313E2"/>
    <w:rsid w:val="00E43831"/>
    <w:rsid w:val="00E43975"/>
    <w:rsid w:val="00E60A46"/>
    <w:rsid w:val="00E77C8D"/>
    <w:rsid w:val="00E9110C"/>
    <w:rsid w:val="00E93C1F"/>
    <w:rsid w:val="00EA202C"/>
    <w:rsid w:val="00EB1227"/>
    <w:rsid w:val="00EB4BEE"/>
    <w:rsid w:val="00EB5AF7"/>
    <w:rsid w:val="00EC7F40"/>
    <w:rsid w:val="00ED66CE"/>
    <w:rsid w:val="00ED785A"/>
    <w:rsid w:val="00F05B34"/>
    <w:rsid w:val="00F1224D"/>
    <w:rsid w:val="00F123A5"/>
    <w:rsid w:val="00F13588"/>
    <w:rsid w:val="00F22194"/>
    <w:rsid w:val="00F23C56"/>
    <w:rsid w:val="00F329DC"/>
    <w:rsid w:val="00F33739"/>
    <w:rsid w:val="00F361D3"/>
    <w:rsid w:val="00F374CC"/>
    <w:rsid w:val="00F4275B"/>
    <w:rsid w:val="00F428E7"/>
    <w:rsid w:val="00F62369"/>
    <w:rsid w:val="00F63212"/>
    <w:rsid w:val="00F64570"/>
    <w:rsid w:val="00F74B75"/>
    <w:rsid w:val="00F768AB"/>
    <w:rsid w:val="00F87065"/>
    <w:rsid w:val="00F924AF"/>
    <w:rsid w:val="00F93763"/>
    <w:rsid w:val="00F942EB"/>
    <w:rsid w:val="00FA6B3A"/>
    <w:rsid w:val="00FA6E5C"/>
    <w:rsid w:val="00FA7B8C"/>
    <w:rsid w:val="00FB12A5"/>
    <w:rsid w:val="00FB40E1"/>
    <w:rsid w:val="00FD16B6"/>
    <w:rsid w:val="00FD3AC6"/>
    <w:rsid w:val="00FE2888"/>
    <w:rsid w:val="00FF2DC0"/>
    <w:rsid w:val="00FF3228"/>
    <w:rsid w:val="00FF5E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E2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7DC"/>
    <w:rPr>
      <w:color w:val="0563C1" w:themeColor="hyperlink"/>
      <w:u w:val="single"/>
    </w:rPr>
  </w:style>
  <w:style w:type="paragraph" w:customStyle="1" w:styleId="p1">
    <w:name w:val="p1"/>
    <w:basedOn w:val="Normal"/>
    <w:rsid w:val="0090419D"/>
    <w:rPr>
      <w:rFonts w:ascii="Helvetica" w:hAnsi="Helvetica" w:cs="Times New Roman"/>
      <w:sz w:val="18"/>
      <w:szCs w:val="18"/>
      <w:lang w:eastAsia="en-GB"/>
    </w:rPr>
  </w:style>
  <w:style w:type="character" w:styleId="FollowedHyperlink">
    <w:name w:val="FollowedHyperlink"/>
    <w:basedOn w:val="DefaultParagraphFont"/>
    <w:uiPriority w:val="99"/>
    <w:semiHidden/>
    <w:unhideWhenUsed/>
    <w:rsid w:val="00923045"/>
    <w:rPr>
      <w:color w:val="954F72" w:themeColor="followedHyperlink"/>
      <w:u w:val="single"/>
    </w:rPr>
  </w:style>
  <w:style w:type="character" w:styleId="UnresolvedMention">
    <w:name w:val="Unresolved Mention"/>
    <w:basedOn w:val="DefaultParagraphFont"/>
    <w:uiPriority w:val="99"/>
    <w:rsid w:val="00923045"/>
    <w:rPr>
      <w:color w:val="605E5C"/>
      <w:shd w:val="clear" w:color="auto" w:fill="E1DFDD"/>
    </w:rPr>
  </w:style>
  <w:style w:type="paragraph" w:styleId="BalloonText">
    <w:name w:val="Balloon Text"/>
    <w:basedOn w:val="Normal"/>
    <w:link w:val="BalloonTextChar"/>
    <w:uiPriority w:val="99"/>
    <w:semiHidden/>
    <w:unhideWhenUsed/>
    <w:rsid w:val="00EB5A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5AF7"/>
    <w:rPr>
      <w:rFonts w:ascii="Times New Roman" w:hAnsi="Times New Roman" w:cs="Times New Roman"/>
      <w:sz w:val="18"/>
      <w:szCs w:val="18"/>
    </w:rPr>
  </w:style>
  <w:style w:type="paragraph" w:styleId="ListParagraph">
    <w:name w:val="List Paragraph"/>
    <w:basedOn w:val="Normal"/>
    <w:uiPriority w:val="34"/>
    <w:qFormat/>
    <w:rsid w:val="001527CA"/>
    <w:pPr>
      <w:spacing w:after="160" w:line="259" w:lineRule="auto"/>
      <w:ind w:left="720"/>
      <w:contextualSpacing/>
    </w:pPr>
    <w:rPr>
      <w:sz w:val="22"/>
      <w:szCs w:val="22"/>
      <w:lang w:val="en-US"/>
    </w:rPr>
  </w:style>
  <w:style w:type="paragraph" w:customStyle="1" w:styleId="ANMapapertitle">
    <w:name w:val="ANM a paper title"/>
    <w:next w:val="Normal"/>
    <w:link w:val="ANMapapertitleCar"/>
    <w:uiPriority w:val="99"/>
    <w:qFormat/>
    <w:rsid w:val="001527CA"/>
    <w:pPr>
      <w:spacing w:line="480" w:lineRule="auto"/>
    </w:pPr>
    <w:rPr>
      <w:rFonts w:ascii="Arial" w:eastAsia="Times New Roman" w:hAnsi="Arial" w:cs="Times New Roman"/>
      <w:b/>
      <w:lang w:eastAsia="fr-FR"/>
    </w:rPr>
  </w:style>
  <w:style w:type="character" w:customStyle="1" w:styleId="ANMapapertitleCar">
    <w:name w:val="ANM a paper title Car"/>
    <w:link w:val="ANMapapertitle"/>
    <w:uiPriority w:val="99"/>
    <w:locked/>
    <w:rsid w:val="001527CA"/>
    <w:rPr>
      <w:rFonts w:ascii="Arial" w:eastAsia="Times New Roman" w:hAnsi="Arial" w:cs="Times New Roman"/>
      <w:b/>
      <w:lang w:eastAsia="fr-FR"/>
    </w:rPr>
  </w:style>
  <w:style w:type="paragraph" w:customStyle="1" w:styleId="ANMsuperscript">
    <w:name w:val="ANM superscript"/>
    <w:next w:val="Normal"/>
    <w:link w:val="ANMsuperscriptCar"/>
    <w:uiPriority w:val="99"/>
    <w:qFormat/>
    <w:rsid w:val="001527CA"/>
    <w:pPr>
      <w:spacing w:line="480" w:lineRule="auto"/>
    </w:pPr>
    <w:rPr>
      <w:rFonts w:ascii="Arial" w:eastAsia="Times New Roman" w:hAnsi="Arial" w:cs="Times New Roman"/>
      <w:vertAlign w:val="superscript"/>
      <w:lang w:eastAsia="fr-FR"/>
    </w:rPr>
  </w:style>
  <w:style w:type="character" w:customStyle="1" w:styleId="ANMsuperscriptCar">
    <w:name w:val="ANM superscript Car"/>
    <w:link w:val="ANMsuperscript"/>
    <w:uiPriority w:val="99"/>
    <w:locked/>
    <w:rsid w:val="001527CA"/>
    <w:rPr>
      <w:rFonts w:ascii="Arial" w:eastAsia="Times New Roman" w:hAnsi="Arial" w:cs="Times New Roman"/>
      <w:vertAlign w:val="superscript"/>
      <w:lang w:eastAsia="fr-FR"/>
    </w:rPr>
  </w:style>
  <w:style w:type="character" w:styleId="CommentReference">
    <w:name w:val="annotation reference"/>
    <w:basedOn w:val="DefaultParagraphFont"/>
    <w:uiPriority w:val="99"/>
    <w:semiHidden/>
    <w:unhideWhenUsed/>
    <w:rsid w:val="001527CA"/>
    <w:rPr>
      <w:sz w:val="16"/>
      <w:szCs w:val="16"/>
    </w:rPr>
  </w:style>
  <w:style w:type="paragraph" w:styleId="CommentText">
    <w:name w:val="annotation text"/>
    <w:basedOn w:val="Normal"/>
    <w:link w:val="CommentTextChar"/>
    <w:uiPriority w:val="99"/>
    <w:unhideWhenUsed/>
    <w:rsid w:val="001527CA"/>
    <w:pPr>
      <w:spacing w:after="160"/>
    </w:pPr>
    <w:rPr>
      <w:sz w:val="20"/>
      <w:szCs w:val="20"/>
      <w:lang w:val="en-US"/>
    </w:rPr>
  </w:style>
  <w:style w:type="character" w:customStyle="1" w:styleId="CommentTextChar">
    <w:name w:val="Comment Text Char"/>
    <w:basedOn w:val="DefaultParagraphFont"/>
    <w:link w:val="CommentText"/>
    <w:uiPriority w:val="99"/>
    <w:rsid w:val="001527CA"/>
    <w:rPr>
      <w:sz w:val="20"/>
      <w:szCs w:val="20"/>
      <w:lang w:val="en-US"/>
    </w:rPr>
  </w:style>
  <w:style w:type="paragraph" w:customStyle="1" w:styleId="Default">
    <w:name w:val="Default"/>
    <w:rsid w:val="001527CA"/>
    <w:pPr>
      <w:autoSpaceDE w:val="0"/>
      <w:autoSpaceDN w:val="0"/>
      <w:adjustRightInd w:val="0"/>
    </w:pPr>
    <w:rPr>
      <w:rFonts w:ascii="Consolas" w:hAnsi="Consolas" w:cs="Consolas"/>
      <w:color w:val="000000"/>
    </w:rPr>
  </w:style>
  <w:style w:type="paragraph" w:styleId="Revision">
    <w:name w:val="Revision"/>
    <w:hidden/>
    <w:uiPriority w:val="99"/>
    <w:semiHidden/>
    <w:rsid w:val="00684AF9"/>
  </w:style>
  <w:style w:type="paragraph" w:styleId="CommentSubject">
    <w:name w:val="annotation subject"/>
    <w:basedOn w:val="CommentText"/>
    <w:next w:val="CommentText"/>
    <w:link w:val="CommentSubjectChar"/>
    <w:uiPriority w:val="99"/>
    <w:semiHidden/>
    <w:unhideWhenUsed/>
    <w:rsid w:val="00684AF9"/>
    <w:pPr>
      <w:spacing w:after="0"/>
    </w:pPr>
    <w:rPr>
      <w:b/>
      <w:bCs/>
      <w:lang w:val="en-GB"/>
    </w:rPr>
  </w:style>
  <w:style w:type="character" w:customStyle="1" w:styleId="CommentSubjectChar">
    <w:name w:val="Comment Subject Char"/>
    <w:basedOn w:val="CommentTextChar"/>
    <w:link w:val="CommentSubject"/>
    <w:uiPriority w:val="99"/>
    <w:semiHidden/>
    <w:rsid w:val="00684AF9"/>
    <w:rPr>
      <w:b/>
      <w:bCs/>
      <w:sz w:val="20"/>
      <w:szCs w:val="20"/>
      <w:lang w:val="en-US"/>
    </w:rPr>
  </w:style>
  <w:style w:type="character" w:styleId="Emphasis">
    <w:name w:val="Emphasis"/>
    <w:basedOn w:val="DefaultParagraphFont"/>
    <w:uiPriority w:val="20"/>
    <w:qFormat/>
    <w:rsid w:val="00F768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5405">
      <w:bodyDiv w:val="1"/>
      <w:marLeft w:val="0"/>
      <w:marRight w:val="0"/>
      <w:marTop w:val="0"/>
      <w:marBottom w:val="0"/>
      <w:divBdr>
        <w:top w:val="none" w:sz="0" w:space="0" w:color="auto"/>
        <w:left w:val="none" w:sz="0" w:space="0" w:color="auto"/>
        <w:bottom w:val="none" w:sz="0" w:space="0" w:color="auto"/>
        <w:right w:val="none" w:sz="0" w:space="0" w:color="auto"/>
      </w:divBdr>
    </w:div>
    <w:div w:id="989135299">
      <w:bodyDiv w:val="1"/>
      <w:marLeft w:val="0"/>
      <w:marRight w:val="0"/>
      <w:marTop w:val="0"/>
      <w:marBottom w:val="0"/>
      <w:divBdr>
        <w:top w:val="none" w:sz="0" w:space="0" w:color="auto"/>
        <w:left w:val="none" w:sz="0" w:space="0" w:color="auto"/>
        <w:bottom w:val="none" w:sz="0" w:space="0" w:color="auto"/>
        <w:right w:val="none" w:sz="0" w:space="0" w:color="auto"/>
      </w:divBdr>
    </w:div>
    <w:div w:id="1674988148">
      <w:bodyDiv w:val="1"/>
      <w:marLeft w:val="0"/>
      <w:marRight w:val="0"/>
      <w:marTop w:val="0"/>
      <w:marBottom w:val="0"/>
      <w:divBdr>
        <w:top w:val="none" w:sz="0" w:space="0" w:color="auto"/>
        <w:left w:val="none" w:sz="0" w:space="0" w:color="auto"/>
        <w:bottom w:val="none" w:sz="0" w:space="0" w:color="auto"/>
        <w:right w:val="none" w:sz="0" w:space="0" w:color="auto"/>
      </w:divBdr>
    </w:div>
    <w:div w:id="1844120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Allan</dc:creator>
  <cp:keywords/>
  <dc:description/>
  <cp:lastModifiedBy>Maha Mansour Mohamed Shalaby (PGR)</cp:lastModifiedBy>
  <cp:revision>3</cp:revision>
  <dcterms:created xsi:type="dcterms:W3CDTF">2023-04-04T08:17:00Z</dcterms:created>
  <dcterms:modified xsi:type="dcterms:W3CDTF">2023-04-05T10:36:00Z</dcterms:modified>
</cp:coreProperties>
</file>